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Дата начала антикоррупционной </w:t>
      </w:r>
    </w:p>
    <w:p>
      <w:pPr>
        <w:pStyle w:val="Normal"/>
        <w:rPr/>
      </w:pPr>
      <w:r>
        <w:rPr/>
        <w:t>э</w:t>
      </w:r>
      <w:r>
        <w:rPr/>
        <w:t>кспе</w:t>
      </w:r>
      <w:bookmarkStart w:id="0" w:name="_GoBack_Копия_1"/>
      <w:bookmarkEnd w:id="0"/>
      <w:r>
        <w:rPr/>
        <w:t>ртизы 1</w:t>
      </w:r>
      <w:r>
        <w:rPr/>
        <w:t>4</w:t>
      </w:r>
      <w:r>
        <w:rPr/>
        <w:t>.1</w:t>
      </w:r>
      <w:r>
        <w:rPr/>
        <w:t>0</w:t>
      </w:r>
      <w:r>
        <w:rPr/>
        <w:t>.202</w:t>
      </w:r>
      <w:r>
        <w:rPr/>
        <w:t>5</w:t>
      </w:r>
      <w:r>
        <w:rPr/>
        <w:t xml:space="preserve"> г.</w:t>
      </w:r>
    </w:p>
    <w:p>
      <w:pPr>
        <w:pStyle w:val="Normal"/>
        <w:rPr/>
      </w:pPr>
      <w:r>
        <w:rPr/>
        <w:t xml:space="preserve">Дата окончания антикоррупционной </w:t>
      </w:r>
    </w:p>
    <w:p>
      <w:pPr>
        <w:pStyle w:val="Normal"/>
        <w:rPr/>
      </w:pPr>
      <w:r>
        <w:rPr/>
        <w:t>экспертизы 2</w:t>
      </w:r>
      <w:r>
        <w:rPr/>
        <w:t>7</w:t>
      </w:r>
      <w:r>
        <w:rPr/>
        <w:t>.1</w:t>
      </w:r>
      <w:r>
        <w:rPr/>
        <w:t>0</w:t>
      </w:r>
      <w:r>
        <w:rPr/>
        <w:t>.202</w:t>
      </w:r>
      <w:r>
        <w:rPr/>
        <w:t>5</w:t>
      </w:r>
      <w:r>
        <w:rPr/>
        <w:t xml:space="preserve"> г.</w:t>
      </w:r>
    </w:p>
    <w:p>
      <w:pPr>
        <w:pStyle w:val="Normal"/>
        <w:rPr/>
      </w:pPr>
      <w:r>
        <w:rPr/>
        <w:t xml:space="preserve">Разработчик ведущий консультант отдела </w:t>
      </w:r>
    </w:p>
    <w:p>
      <w:pPr>
        <w:pStyle w:val="Normal"/>
        <w:rPr/>
      </w:pPr>
      <w:r>
        <w:rPr/>
        <w:t xml:space="preserve">предупреждения чрезвычайных ситуаций МЧС </w:t>
      </w:r>
    </w:p>
    <w:p>
      <w:pPr>
        <w:pStyle w:val="Normal"/>
        <w:rPr/>
      </w:pPr>
      <w:r>
        <w:rPr/>
        <w:t>Республики Татарстан М.Р. Низамутдинов</w:t>
      </w:r>
    </w:p>
    <w:p>
      <w:pPr>
        <w:pStyle w:val="Normal"/>
        <w:rPr/>
      </w:pPr>
      <w:hyperlink r:id="rId2">
        <w:r>
          <w:rPr>
            <w:rStyle w:val="Hyperlink"/>
            <w:color w:val="auto"/>
            <w:u w:val="none"/>
          </w:rPr>
          <w:t>Marat.Nizamutdinov1@tatar.ru</w:t>
        </w:r>
      </w:hyperlink>
    </w:p>
    <w:p>
      <w:pPr>
        <w:pStyle w:val="Normal"/>
        <w:numPr>
          <w:ilvl w:val="0"/>
          <w:numId w:val="0"/>
        </w:numPr>
        <w:ind w:hanging="0" w:left="0"/>
        <w:outlineLvl w:val="0"/>
        <w:rPr/>
      </w:pPr>
      <w:r>
        <w:rPr/>
        <w:t xml:space="preserve">Тел. 221-62-12 </w:t>
      </w:r>
    </w:p>
    <w:p>
      <w:pPr>
        <w:pStyle w:val="Normal"/>
        <w:rPr/>
      </w:pPr>
      <w:r>
        <w:rPr/>
        <w:t>Ответ</w:t>
      </w:r>
      <w:r>
        <w:rPr>
          <w:sz w:val="20"/>
          <w:szCs w:val="20"/>
        </w:rPr>
        <w:t xml:space="preserve">ственное лицо по принятию </w:t>
      </w:r>
    </w:p>
    <w:p>
      <w:pPr>
        <w:pStyle w:val="Normal"/>
        <w:rPr>
          <w:sz w:val="20"/>
          <w:szCs w:val="20"/>
        </w:rPr>
      </w:pPr>
      <w:r>
        <w:rPr>
          <w:sz w:val="20"/>
          <w:szCs w:val="20"/>
        </w:rPr>
        <w:t xml:space="preserve">экспертных заключений, начальник </w:t>
      </w:r>
    </w:p>
    <w:p>
      <w:pPr>
        <w:pStyle w:val="Normal"/>
        <w:rPr>
          <w:sz w:val="20"/>
          <w:szCs w:val="20"/>
        </w:rPr>
      </w:pPr>
      <w:r>
        <w:rPr>
          <w:sz w:val="20"/>
          <w:szCs w:val="20"/>
        </w:rPr>
        <w:t xml:space="preserve">отдела правового обеспечения МЧС </w:t>
      </w:r>
    </w:p>
    <w:p>
      <w:pPr>
        <w:pStyle w:val="Normal"/>
        <w:rPr>
          <w:sz w:val="20"/>
          <w:szCs w:val="20"/>
        </w:rPr>
      </w:pPr>
      <w:r>
        <w:rPr>
          <w:sz w:val="20"/>
          <w:szCs w:val="20"/>
        </w:rPr>
        <w:t>Республики Татарстан А.А. Павлов</w:t>
      </w:r>
    </w:p>
    <w:p>
      <w:pPr>
        <w:pStyle w:val="Normal"/>
        <w:numPr>
          <w:ilvl w:val="0"/>
          <w:numId w:val="0"/>
        </w:numPr>
        <w:ind w:hanging="0" w:left="0"/>
        <w:outlineLvl w:val="0"/>
        <w:rPr/>
      </w:pPr>
      <w:r>
        <w:rPr>
          <w:color w:val="000000"/>
          <w:sz w:val="20"/>
          <w:szCs w:val="20"/>
          <w:lang w:val="en-US"/>
        </w:rPr>
        <w:t>Andrey</w:t>
      </w:r>
      <w:r>
        <w:rPr>
          <w:color w:val="000000"/>
          <w:sz w:val="20"/>
          <w:szCs w:val="20"/>
        </w:rPr>
        <w:t>.</w:t>
      </w:r>
      <w:r>
        <w:rPr>
          <w:color w:val="000000"/>
          <w:sz w:val="20"/>
          <w:szCs w:val="20"/>
          <w:lang w:val="en-US"/>
        </w:rPr>
        <w:t>Pavlov</w:t>
      </w:r>
      <w:hyperlink r:id="rId3">
        <w:r>
          <w:rPr>
            <w:rStyle w:val="Hyperlink"/>
            <w:color w:val="000000"/>
            <w:sz w:val="20"/>
            <w:szCs w:val="20"/>
            <w:u w:val="none"/>
            <w:shd w:fill="FFFFFF" w:val="clear"/>
          </w:rPr>
          <w:t>@tatar.ru</w:t>
        </w:r>
      </w:hyperlink>
      <w:r>
        <w:rPr>
          <w:color w:val="000000"/>
          <w:sz w:val="20"/>
          <w:szCs w:val="20"/>
        </w:rPr>
        <w:t xml:space="preserve"> </w:t>
      </w:r>
    </w:p>
    <w:p>
      <w:pPr>
        <w:pStyle w:val="Normal"/>
        <w:widowControl w:val="false"/>
        <w:jc w:val="left"/>
        <w:rPr>
          <w:sz w:val="20"/>
          <w:szCs w:val="20"/>
        </w:rPr>
      </w:pPr>
      <w:r>
        <w:rPr>
          <w:sz w:val="20"/>
          <w:szCs w:val="20"/>
        </w:rPr>
        <w:t>Тел. 221-62-71.</w:t>
      </w:r>
    </w:p>
    <w:p>
      <w:pPr>
        <w:pStyle w:val="Normal"/>
        <w:widowControl w:val="false"/>
        <w:jc w:val="right"/>
        <w:rPr>
          <w:sz w:val="20"/>
          <w:szCs w:val="20"/>
        </w:rPr>
      </w:pPr>
      <w:r>
        <w:rPr>
          <w:sz w:val="20"/>
          <w:szCs w:val="20"/>
        </w:rPr>
      </w:r>
    </w:p>
    <w:p>
      <w:pPr>
        <w:pStyle w:val="Normal"/>
        <w:widowControl w:val="false"/>
        <w:jc w:val="right"/>
        <w:rPr>
          <w:sz w:val="20"/>
          <w:szCs w:val="20"/>
        </w:rPr>
      </w:pPr>
      <w:r>
        <w:rPr>
          <w:sz w:val="20"/>
          <w:szCs w:val="20"/>
        </w:rPr>
      </w:r>
    </w:p>
    <w:p>
      <w:pPr>
        <w:pStyle w:val="Normal"/>
        <w:widowControl w:val="false"/>
        <w:jc w:val="right"/>
        <w:rPr>
          <w:sz w:val="28"/>
          <w:szCs w:val="28"/>
        </w:rPr>
      </w:pPr>
      <w:r>
        <w:rPr/>
      </w:r>
    </w:p>
    <w:p>
      <w:pPr>
        <w:pStyle w:val="Normal"/>
        <w:widowControl w:val="false"/>
        <w:jc w:val="right"/>
        <w:rPr>
          <w:sz w:val="28"/>
          <w:szCs w:val="28"/>
        </w:rPr>
      </w:pPr>
      <w:r>
        <w:rPr>
          <w:sz w:val="28"/>
          <w:szCs w:val="28"/>
        </w:rPr>
        <w:t>Проект</w:t>
      </w:r>
    </w:p>
    <w:p>
      <w:pPr>
        <w:pStyle w:val="Normal"/>
        <w:widowControl w:val="false"/>
        <w:jc w:val="both"/>
        <w:rPr>
          <w:sz w:val="28"/>
          <w:szCs w:val="28"/>
        </w:rPr>
      </w:pPr>
      <w:r>
        <w:rPr>
          <w:sz w:val="28"/>
          <w:szCs w:val="28"/>
        </w:rPr>
      </w:r>
    </w:p>
    <w:tbl>
      <w:tblPr>
        <w:tblW w:w="9854" w:type="dxa"/>
        <w:jc w:val="left"/>
        <w:tblInd w:w="108" w:type="dxa"/>
        <w:tblLayout w:type="fixed"/>
        <w:tblCellMar>
          <w:top w:w="0" w:type="dxa"/>
          <w:left w:w="108" w:type="dxa"/>
          <w:bottom w:w="0" w:type="dxa"/>
          <w:right w:w="108" w:type="dxa"/>
        </w:tblCellMar>
        <w:tblLook w:val="0000"/>
      </w:tblPr>
      <w:tblGrid>
        <w:gridCol w:w="4927"/>
        <w:gridCol w:w="4927"/>
      </w:tblGrid>
      <w:tr>
        <w:trPr/>
        <w:tc>
          <w:tcPr>
            <w:tcW w:w="4927" w:type="dxa"/>
            <w:tcBorders/>
          </w:tcPr>
          <w:p>
            <w:pPr>
              <w:pStyle w:val="Normal"/>
              <w:rPr>
                <w:sz w:val="28"/>
              </w:rPr>
            </w:pPr>
            <w:r>
              <w:rPr>
                <w:sz w:val="28"/>
              </w:rPr>
              <w:t>КАРАР</w:t>
            </w:r>
          </w:p>
        </w:tc>
        <w:tc>
          <w:tcPr>
            <w:tcW w:w="4927" w:type="dxa"/>
            <w:tcBorders/>
          </w:tcPr>
          <w:p>
            <w:pPr>
              <w:pStyle w:val="Normal"/>
              <w:jc w:val="right"/>
              <w:rPr>
                <w:sz w:val="28"/>
              </w:rPr>
            </w:pPr>
            <w:r>
              <w:rPr>
                <w:sz w:val="28"/>
              </w:rPr>
              <w:t>ПОСТАНОВЛЕНИЕ</w:t>
            </w:r>
          </w:p>
        </w:tc>
      </w:tr>
      <w:tr>
        <w:trPr/>
        <w:tc>
          <w:tcPr>
            <w:tcW w:w="4927" w:type="dxa"/>
            <w:tcBorders/>
          </w:tcPr>
          <w:p>
            <w:pPr>
              <w:pStyle w:val="Normal"/>
              <w:jc w:val="center"/>
              <w:rPr>
                <w:sz w:val="28"/>
              </w:rPr>
            </w:pPr>
            <w:r>
              <w:rPr>
                <w:sz w:val="28"/>
              </w:rPr>
            </w:r>
          </w:p>
          <w:p>
            <w:pPr>
              <w:pStyle w:val="Normal"/>
              <w:rPr>
                <w:sz w:val="28"/>
              </w:rPr>
            </w:pPr>
            <w:r>
              <w:rPr>
                <w:sz w:val="28"/>
              </w:rPr>
              <w:t xml:space="preserve"> </w:t>
            </w:r>
            <w:r>
              <w:rPr>
                <w:sz w:val="28"/>
              </w:rPr>
              <w:t>___.___. 202</w:t>
            </w:r>
            <w:r>
              <w:rPr>
                <w:sz w:val="28"/>
              </w:rPr>
              <w:t>5</w:t>
            </w:r>
          </w:p>
        </w:tc>
        <w:tc>
          <w:tcPr>
            <w:tcW w:w="4927" w:type="dxa"/>
            <w:tcBorders/>
          </w:tcPr>
          <w:p>
            <w:pPr>
              <w:pStyle w:val="Normal"/>
              <w:jc w:val="center"/>
              <w:rPr>
                <w:sz w:val="28"/>
              </w:rPr>
            </w:pPr>
            <w:r>
              <w:rPr>
                <w:sz w:val="28"/>
              </w:rPr>
            </w:r>
          </w:p>
          <w:p>
            <w:pPr>
              <w:pStyle w:val="Normal"/>
              <w:jc w:val="right"/>
              <w:rPr>
                <w:sz w:val="28"/>
              </w:rPr>
            </w:pPr>
            <w:r>
              <w:rPr>
                <w:sz w:val="28"/>
              </w:rPr>
              <w:t xml:space="preserve">                                 № </w:t>
            </w:r>
            <w:r>
              <w:rPr>
                <w:sz w:val="28"/>
              </w:rPr>
              <w:t>____</w:t>
            </w:r>
          </w:p>
        </w:tc>
      </w:tr>
    </w:tbl>
    <w:p>
      <w:pPr>
        <w:pStyle w:val="Normal"/>
        <w:widowControl w:val="false"/>
        <w:suppressAutoHyphens w:val="true"/>
        <w:ind w:right="5102"/>
        <w:jc w:val="both"/>
        <w:rPr/>
      </w:pPr>
      <w:r>
        <w:rPr>
          <w:sz w:val="28"/>
          <w:szCs w:val="28"/>
        </w:rPr>
        <w:t>О мероприятиях по предотвращению негативного воздействия паводковых вод и его последствий в паводкоопасном периоде 2026 года на территории Республики Татарстан</w:t>
      </w:r>
    </w:p>
    <w:p>
      <w:pPr>
        <w:pStyle w:val="1"/>
        <w:widowControl w:val="false"/>
        <w:ind w:firstLine="709"/>
        <w:jc w:val="both"/>
        <w:rPr>
          <w:szCs w:val="28"/>
        </w:rPr>
      </w:pPr>
      <w:r>
        <w:rPr>
          <w:szCs w:val="28"/>
        </w:rPr>
      </w:r>
    </w:p>
    <w:p>
      <w:pPr>
        <w:pStyle w:val="1"/>
        <w:widowControl w:val="false"/>
        <w:ind w:firstLine="709"/>
        <w:jc w:val="both"/>
        <w:rPr>
          <w:szCs w:val="28"/>
          <w:highlight w:val="yellow"/>
        </w:rPr>
      </w:pPr>
      <w:r>
        <w:rPr>
          <w:szCs w:val="28"/>
          <w:highlight w:val="yellow"/>
        </w:rPr>
      </w:r>
    </w:p>
    <w:p>
      <w:pPr>
        <w:pStyle w:val="1"/>
        <w:widowControl w:val="false"/>
        <w:ind w:firstLine="709"/>
        <w:jc w:val="both"/>
        <w:rPr>
          <w:szCs w:val="28"/>
          <w:highlight w:val="yellow"/>
        </w:rPr>
      </w:pPr>
      <w:r>
        <w:rPr>
          <w:szCs w:val="28"/>
          <w:highlight w:val="yellow"/>
        </w:rPr>
      </w:r>
    </w:p>
    <w:p>
      <w:pPr>
        <w:pStyle w:val="Normal"/>
        <w:widowControl w:val="false"/>
        <w:ind w:firstLine="709"/>
        <w:jc w:val="both"/>
        <w:rPr>
          <w:sz w:val="28"/>
          <w:szCs w:val="28"/>
        </w:rPr>
      </w:pPr>
      <w:r>
        <w:rPr>
          <w:sz w:val="28"/>
          <w:szCs w:val="28"/>
        </w:rPr>
        <w:t xml:space="preserve">В целях предупреждения чрезвычайных ситуаций и защиты населения, хозяйственных и жилых объектов, гидротехнических сооружений, дорог и мостов в </w:t>
        <w:br/>
        <w:t>период весеннего половодья 2026 года Кабинет Министров Республики Татарстан ПОСТАНОВЛЯЕТ:</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t xml:space="preserve">1. Утвердить прилагаемый План мероприятий по </w:t>
      </w:r>
      <w:r>
        <w:rPr>
          <w:bCs/>
          <w:sz w:val="28"/>
          <w:szCs w:val="28"/>
        </w:rPr>
        <w:t>предотвращению негативного воздействия паводковых вод и его последствий в паводкоопасном периоде             2026 года на территории Республики Татарстан</w:t>
      </w:r>
      <w:r>
        <w:rPr>
          <w:sz w:val="28"/>
          <w:szCs w:val="28"/>
        </w:rPr>
        <w:t xml:space="preserve"> (далее – План).</w:t>
      </w:r>
    </w:p>
    <w:p>
      <w:pPr>
        <w:pStyle w:val="Normal"/>
        <w:widowControl w:val="false"/>
        <w:ind w:firstLine="709"/>
        <w:jc w:val="both"/>
        <w:rPr>
          <w:sz w:val="28"/>
          <w:szCs w:val="28"/>
        </w:rPr>
      </w:pPr>
      <w:r>
        <w:rPr>
          <w:sz w:val="28"/>
          <w:szCs w:val="28"/>
        </w:rPr>
        <w:t>2.  Республиканским органам исполнительной власти, а также предложить комиссиям по предупреждению и ликвидации чрезвычайных ситуаций и обеспечению пожарной безопасности Республики Татарстан всех уровней, территориальным органам федеральных органов исполнительной власти, органам местного самоуправления и организациям, указанным в Плане:</w:t>
      </w:r>
    </w:p>
    <w:p>
      <w:pPr>
        <w:pStyle w:val="Normal"/>
        <w:widowControl w:val="false"/>
        <w:ind w:firstLine="709"/>
        <w:jc w:val="both"/>
        <w:rPr>
          <w:sz w:val="28"/>
          <w:szCs w:val="28"/>
        </w:rPr>
      </w:pPr>
      <w:r>
        <w:rPr>
          <w:sz w:val="28"/>
          <w:szCs w:val="28"/>
        </w:rPr>
        <w:t>обеспечить выполнение мероприятий Плана;</w:t>
      </w:r>
    </w:p>
    <w:p>
      <w:pPr>
        <w:pStyle w:val="Normal"/>
        <w:widowControl w:val="false"/>
        <w:ind w:firstLine="709"/>
        <w:jc w:val="both"/>
        <w:rPr>
          <w:sz w:val="28"/>
          <w:szCs w:val="28"/>
        </w:rPr>
      </w:pPr>
      <w:r>
        <w:rPr>
          <w:sz w:val="28"/>
          <w:szCs w:val="28"/>
        </w:rPr>
        <w:t>осуществлять руководство работами по ликвидации чрезвычайных ситуаций в соответствии с постановлением Кабинета Министров Республики Татарстан от 10.11.2004 г. №</w:t>
      </w:r>
      <w:r>
        <w:rPr>
          <w:sz w:val="28"/>
          <w:szCs w:val="28"/>
          <w:lang w:val="en-US"/>
        </w:rPr>
        <w:t> </w:t>
      </w:r>
      <w:r>
        <w:rPr>
          <w:sz w:val="28"/>
          <w:szCs w:val="28"/>
        </w:rPr>
        <w:t>480 «О территориальной подсистеме предупреждения и ликвидации чрезвычайных ситуаций Республики Татарстан»;</w:t>
      </w:r>
    </w:p>
    <w:p>
      <w:pPr>
        <w:pStyle w:val="Normal"/>
        <w:widowControl w:val="false"/>
        <w:ind w:firstLine="709"/>
        <w:jc w:val="both"/>
        <w:rPr>
          <w:sz w:val="28"/>
          <w:szCs w:val="28"/>
        </w:rPr>
      </w:pPr>
      <w:r>
        <w:rPr>
          <w:sz w:val="28"/>
          <w:szCs w:val="28"/>
        </w:rPr>
        <w:t>до 1 апреля 2026 года представить в Министерство по делам гражданской обороны и чрезвычайным ситуациям Республики Татарстан информацию о реализации Плана и до 15 мая 2026 года – о результатах прохождения половодья.</w:t>
      </w:r>
    </w:p>
    <w:p>
      <w:pPr>
        <w:pStyle w:val="1"/>
        <w:widowControl w:val="false"/>
        <w:tabs>
          <w:tab w:val="clear" w:pos="720"/>
          <w:tab w:val="left" w:pos="284" w:leader="none"/>
        </w:tabs>
        <w:ind w:firstLine="709"/>
        <w:jc w:val="both"/>
        <w:rPr>
          <w:szCs w:val="28"/>
        </w:rPr>
      </w:pPr>
      <w:r>
        <w:rPr>
          <w:szCs w:val="28"/>
        </w:rPr>
        <w:t>3. </w:t>
      </w:r>
      <w:r>
        <w:rPr>
          <w:bCs/>
          <w:szCs w:val="28"/>
        </w:rPr>
        <w:t xml:space="preserve">Министерству по делам гражданской обороны и чрезвычайным ситуациям Республики Татарстан до 1 июня 2026 года представить в Кабинет Министров </w:t>
        <w:br/>
        <w:t>Республики Татарстан информационно-аналитический отчет об итогах прохождения весеннего половодья на территории Республики Татарстан в 2026 году</w:t>
      </w:r>
      <w:r>
        <w:rPr>
          <w:szCs w:val="28"/>
        </w:rPr>
        <w:t xml:space="preserve">. </w:t>
      </w:r>
    </w:p>
    <w:p>
      <w:pPr>
        <w:pStyle w:val="1"/>
        <w:widowControl w:val="false"/>
        <w:tabs>
          <w:tab w:val="clear" w:pos="720"/>
          <w:tab w:val="left" w:pos="284" w:leader="none"/>
        </w:tabs>
        <w:ind w:firstLine="709"/>
        <w:jc w:val="both"/>
        <w:rPr>
          <w:szCs w:val="28"/>
        </w:rPr>
      </w:pPr>
      <w:r>
        <w:rPr>
          <w:szCs w:val="28"/>
        </w:rPr>
        <w:t>4. Признать утратившим силу постановление Кабинета Министров Республики Татарстан от 31.01.2025 № 47 «О мероприятиях по предотвращению негативного воздействия паводковых вод и его последствий в паводкоопасном периоде 2025 года на территории Республики Татарстан».</w:t>
      </w:r>
    </w:p>
    <w:p>
      <w:pPr>
        <w:pStyle w:val="1"/>
        <w:widowControl w:val="false"/>
        <w:tabs>
          <w:tab w:val="clear" w:pos="720"/>
          <w:tab w:val="left" w:pos="284" w:leader="none"/>
        </w:tabs>
        <w:ind w:firstLine="709"/>
        <w:jc w:val="both"/>
        <w:rPr>
          <w:szCs w:val="28"/>
        </w:rPr>
      </w:pPr>
      <w:r>
        <w:rPr>
          <w:szCs w:val="28"/>
        </w:rPr>
        <w:t xml:space="preserve">5. Контроль за исполнением настоящего постановления возложить на </w:t>
      </w:r>
      <w:r>
        <w:rPr>
          <w:bCs/>
          <w:szCs w:val="28"/>
        </w:rPr>
        <w:t>Министерство по делам гражданской обороны и чрезвычайным ситуациям Республики Татарстан</w:t>
      </w:r>
      <w:r>
        <w:rPr>
          <w:szCs w:val="28"/>
        </w:rPr>
        <w:t xml:space="preserve">. </w:t>
      </w:r>
      <w:bookmarkStart w:id="1" w:name="_GoBack"/>
      <w:bookmarkEnd w:id="1"/>
    </w:p>
    <w:p>
      <w:pPr>
        <w:pStyle w:val="1"/>
        <w:widowControl w:val="false"/>
        <w:tabs>
          <w:tab w:val="clear" w:pos="720"/>
          <w:tab w:val="left" w:pos="284" w:leader="none"/>
        </w:tabs>
        <w:jc w:val="both"/>
        <w:rPr>
          <w:szCs w:val="28"/>
        </w:rPr>
      </w:pPr>
      <w:r>
        <w:rPr>
          <w:szCs w:val="28"/>
        </w:rPr>
      </w:r>
    </w:p>
    <w:p>
      <w:pPr>
        <w:pStyle w:val="1"/>
        <w:widowControl w:val="false"/>
        <w:tabs>
          <w:tab w:val="clear" w:pos="720"/>
          <w:tab w:val="left" w:pos="284" w:leader="none"/>
        </w:tabs>
        <w:jc w:val="both"/>
        <w:rPr>
          <w:szCs w:val="28"/>
          <w:highlight w:val="yellow"/>
        </w:rPr>
      </w:pPr>
      <w:r>
        <w:rPr>
          <w:szCs w:val="28"/>
          <w:highlight w:val="yellow"/>
        </w:rPr>
      </w:r>
    </w:p>
    <w:p>
      <w:pPr>
        <w:pStyle w:val="1"/>
        <w:widowControl w:val="false"/>
        <w:tabs>
          <w:tab w:val="clear" w:pos="720"/>
          <w:tab w:val="left" w:pos="284" w:leader="none"/>
        </w:tabs>
        <w:jc w:val="both"/>
        <w:rPr>
          <w:szCs w:val="28"/>
        </w:rPr>
      </w:pPr>
      <w:r>
        <w:rPr>
          <w:szCs w:val="28"/>
        </w:rPr>
      </w:r>
    </w:p>
    <w:p>
      <w:pPr>
        <w:pStyle w:val="1"/>
        <w:widowControl w:val="false"/>
        <w:tabs>
          <w:tab w:val="clear" w:pos="720"/>
          <w:tab w:val="left" w:pos="284" w:leader="none"/>
        </w:tabs>
        <w:jc w:val="both"/>
        <w:rPr>
          <w:szCs w:val="28"/>
        </w:rPr>
      </w:pPr>
      <w:r>
        <w:rPr>
          <w:szCs w:val="28"/>
        </w:rPr>
        <w:t>Премьер-министр</w:t>
      </w:r>
    </w:p>
    <w:p>
      <w:pPr>
        <w:pStyle w:val="1"/>
        <w:widowControl w:val="false"/>
        <w:tabs>
          <w:tab w:val="clear" w:pos="720"/>
          <w:tab w:val="left" w:pos="284" w:leader="none"/>
        </w:tabs>
        <w:jc w:val="both"/>
        <w:rPr>
          <w:szCs w:val="28"/>
        </w:rPr>
      </w:pPr>
      <w:r>
        <w:rPr>
          <w:szCs w:val="28"/>
        </w:rPr>
        <w:t>Республики Татарстан                                                                                  А.В. Песошин</w:t>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szCs w:val="28"/>
        </w:rPr>
      </w:pPr>
      <w:r>
        <w:rPr/>
      </w:r>
    </w:p>
    <w:p>
      <w:pPr>
        <w:sectPr>
          <w:headerReference w:type="default" r:id="rId4"/>
          <w:type w:val="nextPage"/>
          <w:pgSz w:w="11906" w:h="16838"/>
          <w:pgMar w:left="1134" w:right="567" w:gutter="0" w:header="709" w:top="1134" w:footer="0" w:bottom="1276"/>
          <w:pgNumType w:fmt="decimal"/>
          <w:formProt w:val="false"/>
          <w:titlePg/>
          <w:textDirection w:val="lrTb"/>
          <w:docGrid w:type="default" w:linePitch="272" w:charSpace="16384"/>
        </w:sectPr>
        <w:pStyle w:val="1"/>
        <w:widowControl w:val="false"/>
        <w:tabs>
          <w:tab w:val="clear" w:pos="720"/>
          <w:tab w:val="left" w:pos="284" w:leader="none"/>
        </w:tabs>
        <w:jc w:val="both"/>
        <w:rPr>
          <w:szCs w:val="28"/>
        </w:rPr>
      </w:pPr>
      <w:r>
        <w:rPr/>
      </w:r>
    </w:p>
    <w:p>
      <w:pPr>
        <w:pStyle w:val="1"/>
        <w:widowControl w:val="false"/>
        <w:tabs>
          <w:tab w:val="clear" w:pos="720"/>
          <w:tab w:val="left" w:pos="284" w:leader="none"/>
        </w:tabs>
        <w:jc w:val="both"/>
        <w:rPr/>
      </w:pPr>
      <w:r>
        <w:rPr/>
      </w:r>
    </w:p>
    <w:p>
      <w:pPr>
        <w:pStyle w:val="12"/>
        <w:widowControl/>
        <w:suppressAutoHyphens w:val="false"/>
        <w:bidi w:val="0"/>
        <w:spacing w:before="0" w:after="0"/>
        <w:ind w:firstLine="1701" w:left="9354" w:right="0"/>
        <w:jc w:val="left"/>
        <w:rPr/>
      </w:pPr>
      <w:r>
        <w:rPr/>
        <w:t xml:space="preserve">Утвержден </w:t>
      </w:r>
    </w:p>
    <w:p>
      <w:pPr>
        <w:pStyle w:val="12"/>
        <w:widowControl/>
        <w:suppressAutoHyphens w:val="false"/>
        <w:bidi w:val="0"/>
        <w:spacing w:before="0" w:after="0"/>
        <w:ind w:firstLine="1701" w:left="9354" w:right="0"/>
        <w:jc w:val="left"/>
        <w:rPr/>
      </w:pPr>
      <w:r>
        <w:rPr/>
        <w:t>постановлением</w:t>
      </w:r>
    </w:p>
    <w:p>
      <w:pPr>
        <w:pStyle w:val="12"/>
        <w:widowControl/>
        <w:suppressAutoHyphens w:val="false"/>
        <w:bidi w:val="0"/>
        <w:spacing w:before="0" w:after="0"/>
        <w:ind w:firstLine="1701" w:left="9354" w:right="0"/>
        <w:jc w:val="left"/>
        <w:rPr/>
      </w:pPr>
      <w:r>
        <w:rPr/>
        <w:t>Кабинета Министров</w:t>
      </w:r>
    </w:p>
    <w:p>
      <w:pPr>
        <w:pStyle w:val="Heading2"/>
        <w:keepNext w:val="false"/>
        <w:widowControl/>
        <w:suppressAutoHyphens w:val="false"/>
        <w:bidi w:val="0"/>
        <w:spacing w:before="0" w:after="0"/>
        <w:ind w:firstLine="1701" w:left="9354" w:right="0"/>
        <w:jc w:val="left"/>
        <w:rPr/>
      </w:pPr>
      <w:r>
        <w:rPr/>
        <w:t>Республики Татар</w:t>
      </w:r>
      <w:r>
        <w:rPr/>
        <w:t>с</w:t>
      </w:r>
      <w:r>
        <w:rPr/>
        <w:t xml:space="preserve">тан </w:t>
      </w:r>
    </w:p>
    <w:p>
      <w:pPr>
        <w:pStyle w:val="Normal"/>
        <w:widowControl/>
        <w:suppressAutoHyphens w:val="false"/>
        <w:bidi w:val="0"/>
        <w:spacing w:before="0" w:after="0"/>
        <w:ind w:firstLine="1701" w:left="9354" w:right="0"/>
        <w:jc w:val="left"/>
        <w:rPr>
          <w:sz w:val="28"/>
        </w:rPr>
      </w:pPr>
      <w:r>
        <w:rPr>
          <w:sz w:val="28"/>
        </w:rPr>
        <w:t>от _______ 2026 № ______</w:t>
      </w:r>
    </w:p>
    <w:p>
      <w:pPr>
        <w:pStyle w:val="Normal"/>
        <w:jc w:val="center"/>
        <w:rPr>
          <w:bCs/>
          <w:caps/>
          <w:sz w:val="28"/>
        </w:rPr>
      </w:pPr>
      <w:r>
        <w:rPr>
          <w:bCs/>
          <w:caps/>
          <w:sz w:val="28"/>
        </w:rPr>
      </w:r>
    </w:p>
    <w:p>
      <w:pPr>
        <w:pStyle w:val="Normal"/>
        <w:jc w:val="center"/>
        <w:rPr>
          <w:bCs/>
          <w:sz w:val="28"/>
        </w:rPr>
      </w:pPr>
      <w:r>
        <w:rPr>
          <w:bCs/>
          <w:sz w:val="28"/>
        </w:rPr>
        <w:t>План</w:t>
      </w:r>
    </w:p>
    <w:p>
      <w:pPr>
        <w:pStyle w:val="Normal"/>
        <w:jc w:val="center"/>
        <w:rPr/>
      </w:pPr>
      <w:r>
        <w:rPr>
          <w:sz w:val="28"/>
          <w:szCs w:val="28"/>
        </w:rPr>
        <w:t xml:space="preserve">мероприятий по </w:t>
      </w:r>
      <w:r>
        <w:rPr>
          <w:bCs/>
          <w:sz w:val="28"/>
          <w:szCs w:val="28"/>
        </w:rPr>
        <w:t xml:space="preserve">предотвращению негативного воздействия паводковых вод и его последствий </w:t>
      </w:r>
    </w:p>
    <w:p>
      <w:pPr>
        <w:pStyle w:val="Normal"/>
        <w:jc w:val="center"/>
        <w:rPr>
          <w:bCs/>
          <w:sz w:val="28"/>
          <w:szCs w:val="28"/>
        </w:rPr>
      </w:pPr>
      <w:r>
        <w:rPr>
          <w:bCs/>
          <w:sz w:val="28"/>
          <w:szCs w:val="28"/>
        </w:rPr>
        <w:t>в паводкоопасном периоде 2026 года на территории Республики Татарстан</w:t>
      </w:r>
    </w:p>
    <w:p>
      <w:pPr>
        <w:pStyle w:val="Normal"/>
        <w:jc w:val="center"/>
        <w:rPr>
          <w:bCs/>
          <w:sz w:val="28"/>
          <w:szCs w:val="28"/>
        </w:rPr>
      </w:pPr>
      <w:r>
        <w:rPr>
          <w:bCs/>
          <w:sz w:val="28"/>
          <w:szCs w:val="28"/>
        </w:rPr>
      </w:r>
    </w:p>
    <w:tbl>
      <w:tblPr>
        <w:tblW w:w="15309" w:type="dxa"/>
        <w:jc w:val="left"/>
        <w:tblInd w:w="107" w:type="dxa"/>
        <w:tblLayout w:type="fixed"/>
        <w:tblCellMar>
          <w:top w:w="0" w:type="dxa"/>
          <w:left w:w="107" w:type="dxa"/>
          <w:bottom w:w="0" w:type="dxa"/>
          <w:right w:w="107" w:type="dxa"/>
        </w:tblCellMar>
      </w:tblPr>
      <w:tblGrid>
        <w:gridCol w:w="567"/>
        <w:gridCol w:w="6237"/>
        <w:gridCol w:w="6379"/>
        <w:gridCol w:w="2126"/>
      </w:tblGrid>
      <w:tr>
        <w:trPr>
          <w:tblHeader w:val="true"/>
          <w:trHeight w:val="23" w:hRule="atLeast"/>
        </w:trPr>
        <w:tc>
          <w:tcPr>
            <w:tcW w:w="567" w:type="dxa"/>
            <w:tcBorders>
              <w:top w:val="single" w:sz="6" w:space="0" w:color="000000"/>
              <w:left w:val="single" w:sz="6" w:space="0" w:color="000000"/>
              <w:right w:val="single" w:sz="6" w:space="0" w:color="000000"/>
            </w:tcBorders>
          </w:tcPr>
          <w:p>
            <w:pPr>
              <w:pStyle w:val="Normal"/>
              <w:jc w:val="center"/>
              <w:rPr>
                <w:bCs/>
                <w:sz w:val="25"/>
                <w:szCs w:val="25"/>
              </w:rPr>
            </w:pPr>
            <w:r>
              <w:rPr>
                <w:bCs/>
                <w:sz w:val="25"/>
                <w:szCs w:val="25"/>
              </w:rPr>
              <w:t>№</w:t>
            </w:r>
          </w:p>
          <w:p>
            <w:pPr>
              <w:pStyle w:val="Normal"/>
              <w:jc w:val="center"/>
              <w:rPr>
                <w:bCs/>
                <w:sz w:val="25"/>
                <w:szCs w:val="25"/>
              </w:rPr>
            </w:pPr>
            <w:r>
              <w:rPr>
                <w:bCs/>
                <w:sz w:val="25"/>
                <w:szCs w:val="25"/>
              </w:rPr>
              <w:t>п/п</w:t>
            </w:r>
          </w:p>
        </w:tc>
        <w:tc>
          <w:tcPr>
            <w:tcW w:w="6237" w:type="dxa"/>
            <w:tcBorders>
              <w:top w:val="single" w:sz="6" w:space="0" w:color="000000"/>
              <w:left w:val="single" w:sz="6" w:space="0" w:color="000000"/>
              <w:right w:val="single" w:sz="6" w:space="0" w:color="000000"/>
            </w:tcBorders>
          </w:tcPr>
          <w:p>
            <w:pPr>
              <w:pStyle w:val="Normal"/>
              <w:jc w:val="center"/>
              <w:rPr>
                <w:bCs/>
                <w:sz w:val="25"/>
                <w:szCs w:val="25"/>
              </w:rPr>
            </w:pPr>
            <w:r>
              <w:rPr>
                <w:bCs/>
                <w:sz w:val="25"/>
                <w:szCs w:val="25"/>
              </w:rPr>
              <w:t>Наименование мероприятия</w:t>
            </w:r>
          </w:p>
          <w:p>
            <w:pPr>
              <w:pStyle w:val="Normal"/>
              <w:jc w:val="center"/>
              <w:rPr>
                <w:bCs/>
                <w:sz w:val="25"/>
                <w:szCs w:val="25"/>
              </w:rPr>
            </w:pPr>
            <w:r>
              <w:rPr>
                <w:bCs/>
                <w:sz w:val="25"/>
                <w:szCs w:val="25"/>
              </w:rPr>
            </w:r>
          </w:p>
        </w:tc>
        <w:tc>
          <w:tcPr>
            <w:tcW w:w="6379" w:type="dxa"/>
            <w:tcBorders>
              <w:top w:val="single" w:sz="6" w:space="0" w:color="000000"/>
              <w:left w:val="single" w:sz="6" w:space="0" w:color="000000"/>
              <w:right w:val="single" w:sz="6" w:space="0" w:color="000000"/>
            </w:tcBorders>
          </w:tcPr>
          <w:p>
            <w:pPr>
              <w:pStyle w:val="Normal"/>
              <w:jc w:val="center"/>
              <w:rPr>
                <w:bCs/>
                <w:sz w:val="25"/>
                <w:szCs w:val="25"/>
              </w:rPr>
            </w:pPr>
            <w:r>
              <w:rPr>
                <w:bCs/>
                <w:sz w:val="25"/>
                <w:szCs w:val="25"/>
              </w:rPr>
              <w:t>Исполнители</w:t>
            </w:r>
          </w:p>
        </w:tc>
        <w:tc>
          <w:tcPr>
            <w:tcW w:w="2126" w:type="dxa"/>
            <w:tcBorders>
              <w:top w:val="single" w:sz="6" w:space="0" w:color="000000"/>
              <w:left w:val="single" w:sz="6" w:space="0" w:color="000000"/>
              <w:right w:val="single" w:sz="6" w:space="0" w:color="000000"/>
            </w:tcBorders>
          </w:tcPr>
          <w:p>
            <w:pPr>
              <w:pStyle w:val="Normal"/>
              <w:jc w:val="center"/>
              <w:rPr>
                <w:bCs/>
                <w:sz w:val="25"/>
                <w:szCs w:val="25"/>
              </w:rPr>
            </w:pPr>
            <w:r>
              <w:rPr>
                <w:bCs/>
                <w:sz w:val="25"/>
                <w:szCs w:val="25"/>
              </w:rPr>
              <w:t>Срок</w:t>
            </w:r>
          </w:p>
          <w:p>
            <w:pPr>
              <w:pStyle w:val="Normal"/>
              <w:jc w:val="center"/>
              <w:rPr>
                <w:bCs/>
                <w:sz w:val="25"/>
                <w:szCs w:val="25"/>
              </w:rPr>
            </w:pPr>
            <w:r>
              <w:rPr>
                <w:bCs/>
                <w:sz w:val="25"/>
                <w:szCs w:val="25"/>
              </w:rPr>
              <w:t>исполнения</w:t>
            </w:r>
          </w:p>
        </w:tc>
      </w:tr>
    </w:tbl>
    <w:p>
      <w:pPr>
        <w:pStyle w:val="Normal"/>
        <w:rPr>
          <w:sz w:val="2"/>
          <w:szCs w:val="2"/>
        </w:rPr>
      </w:pPr>
      <w:r>
        <w:rPr>
          <w:sz w:val="2"/>
          <w:szCs w:val="2"/>
        </w:rPr>
      </w:r>
    </w:p>
    <w:tbl>
      <w:tblPr>
        <w:tblW w:w="15309" w:type="dxa"/>
        <w:jc w:val="left"/>
        <w:tblInd w:w="107" w:type="dxa"/>
        <w:tblLayout w:type="fixed"/>
        <w:tblCellMar>
          <w:top w:w="0" w:type="dxa"/>
          <w:left w:w="107" w:type="dxa"/>
          <w:bottom w:w="0" w:type="dxa"/>
          <w:right w:w="107" w:type="dxa"/>
        </w:tblCellMar>
      </w:tblPr>
      <w:tblGrid>
        <w:gridCol w:w="567"/>
        <w:gridCol w:w="6237"/>
        <w:gridCol w:w="6379"/>
        <w:gridCol w:w="2126"/>
      </w:tblGrid>
      <w:tr>
        <w:trPr>
          <w:tblHeader w:val="true"/>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jc w:val="center"/>
              <w:rPr>
                <w:bCs/>
                <w:sz w:val="25"/>
                <w:szCs w:val="25"/>
              </w:rPr>
            </w:pPr>
            <w:r>
              <w:rPr>
                <w:bCs/>
                <w:sz w:val="25"/>
                <w:szCs w:val="25"/>
              </w:rPr>
              <w:t>1</w:t>
            </w:r>
          </w:p>
        </w:tc>
        <w:tc>
          <w:tcPr>
            <w:tcW w:w="6237" w:type="dxa"/>
            <w:tcBorders>
              <w:top w:val="single" w:sz="6" w:space="0" w:color="000000"/>
              <w:left w:val="single" w:sz="6" w:space="0" w:color="000000"/>
              <w:bottom w:val="single" w:sz="6" w:space="0" w:color="000000"/>
              <w:right w:val="single" w:sz="6" w:space="0" w:color="000000"/>
            </w:tcBorders>
          </w:tcPr>
          <w:p>
            <w:pPr>
              <w:pStyle w:val="Normal"/>
              <w:jc w:val="center"/>
              <w:rPr>
                <w:bCs/>
                <w:sz w:val="25"/>
                <w:szCs w:val="25"/>
              </w:rPr>
            </w:pPr>
            <w:r>
              <w:rPr>
                <w:bCs/>
                <w:sz w:val="25"/>
                <w:szCs w:val="25"/>
              </w:rPr>
              <w:t>2</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center"/>
              <w:rPr>
                <w:bCs/>
                <w:sz w:val="25"/>
                <w:szCs w:val="25"/>
              </w:rPr>
            </w:pPr>
            <w:r>
              <w:rPr>
                <w:bCs/>
                <w:sz w:val="25"/>
                <w:szCs w:val="25"/>
              </w:rPr>
              <w:t>3</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bCs/>
                <w:sz w:val="25"/>
                <w:szCs w:val="25"/>
              </w:rPr>
            </w:pPr>
            <w:r>
              <w:rPr>
                <w:bCs/>
                <w:sz w:val="25"/>
                <w:szCs w:val="25"/>
              </w:rPr>
              <w:t>4</w:t>
            </w:r>
          </w:p>
        </w:tc>
      </w:tr>
      <w:tr>
        <w:trPr>
          <w:trHeight w:val="23" w:hRule="atLeast"/>
          <w:cantSplit w:val="true"/>
        </w:trPr>
        <w:tc>
          <w:tcPr>
            <w:tcW w:w="15309" w:type="dxa"/>
            <w:gridSpan w:val="4"/>
            <w:tcBorders>
              <w:top w:val="single" w:sz="6" w:space="0" w:color="000000"/>
              <w:left w:val="single" w:sz="6" w:space="0" w:color="000000"/>
              <w:bottom w:val="single" w:sz="6" w:space="0" w:color="000000"/>
              <w:right w:val="single" w:sz="6" w:space="0" w:color="000000"/>
            </w:tcBorders>
          </w:tcPr>
          <w:p>
            <w:pPr>
              <w:pStyle w:val="Heading1"/>
              <w:keepNext w:val="false"/>
              <w:rPr>
                <w:b w:val="false"/>
                <w:bCs/>
                <w:sz w:val="25"/>
                <w:szCs w:val="25"/>
              </w:rPr>
            </w:pPr>
            <w:r>
              <w:rPr>
                <w:b w:val="false"/>
                <w:bCs/>
                <w:sz w:val="25"/>
                <w:szCs w:val="25"/>
              </w:rPr>
              <w:t>Организационные мероприятия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bCs/>
                <w:sz w:val="25"/>
                <w:szCs w:val="25"/>
              </w:rPr>
            </w:pPr>
            <w:r>
              <w:rPr>
                <w:bCs/>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Составление графика проверки выполнения мероприятий по подготовке муниципальных образований Республики Татарстан к весеннему половодью 2026 года</w:t>
            </w:r>
          </w:p>
          <w:p>
            <w:pPr>
              <w:pStyle w:val="BodyText"/>
              <w:rPr>
                <w:sz w:val="25"/>
                <w:szCs w:val="25"/>
                <w:lang w:val="ru-RU" w:eastAsia="ru-RU"/>
              </w:rPr>
            </w:pPr>
            <w:r>
              <w:rPr>
                <w:sz w:val="25"/>
                <w:szCs w:val="25"/>
                <w:lang w:val="ru-RU" w:eastAsia="ru-RU"/>
              </w:rPr>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рабочая группа Комиссии по предупреждению и ликвидации чрезвычайных ситуаций и обеспечению пожарной безопасности Республики Татарстан (далее – КЧСиОПБ Республики Татарстан)</w:t>
            </w:r>
            <w:r>
              <w:rPr>
                <w:bCs/>
                <w:szCs w:val="25"/>
              </w:rPr>
              <w:t xml:space="preserve">, </w:t>
            </w:r>
            <w:r>
              <w:rPr>
                <w:bCs/>
                <w:sz w:val="25"/>
                <w:szCs w:val="25"/>
              </w:rPr>
              <w:t xml:space="preserve">Министерство по делам гражданской обороны и чрезвычайным ситуациям </w:t>
            </w:r>
            <w:r>
              <w:rPr>
                <w:sz w:val="25"/>
                <w:szCs w:val="25"/>
              </w:rPr>
              <w:t xml:space="preserve">Республики Татарстан (далее – МЧС Республики Татарстан) 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(далее – ГУ МЧС России по Республике Татарстан) (по согласованию) </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до 05.03.2026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Регулярное рассмотрение вопросов, требующих принятия экстренных мер для уменьшения и ликвидации последствий весеннего половодья</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рабочая группа КЧСиОПБ Республики Татарстан, 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до начала</w:t>
            </w:r>
          </w:p>
          <w:p>
            <w:pPr>
              <w:pStyle w:val="BodyText"/>
              <w:jc w:val="center"/>
              <w:rPr>
                <w:sz w:val="25"/>
                <w:szCs w:val="25"/>
                <w:lang w:val="ru-RU" w:eastAsia="ru-RU"/>
              </w:rPr>
            </w:pPr>
            <w:r>
              <w:rPr>
                <w:sz w:val="25"/>
                <w:szCs w:val="25"/>
                <w:lang w:val="ru-RU" w:eastAsia="ru-RU"/>
              </w:rPr>
              <w:t>и в период</w:t>
            </w:r>
          </w:p>
          <w:p>
            <w:pPr>
              <w:pStyle w:val="BodyText"/>
              <w:jc w:val="center"/>
              <w:rPr>
                <w:sz w:val="25"/>
                <w:szCs w:val="25"/>
                <w:lang w:val="ru-RU" w:eastAsia="ru-RU"/>
              </w:rPr>
            </w:pPr>
            <w:r>
              <w:rPr>
                <w:sz w:val="25"/>
                <w:szCs w:val="25"/>
                <w:lang w:val="ru-RU" w:eastAsia="ru-RU"/>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Оказание организационно-методической помощи комиссиям по предупреждению и ликвидации чрезвычайных ситуаций и обеспечению пожарной безопасности муниципальных образований Республики Татарстан (далее – КЧСиОПБ муниципальных образований) в подготовке и проведении предупредительных и противопаводковых мероприятий</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рабочая группа КЧСиОПБ Республики Татарстан, МЧС Республики Татарстан, 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до начала</w:t>
            </w:r>
          </w:p>
          <w:p>
            <w:pPr>
              <w:pStyle w:val="BodyText"/>
              <w:jc w:val="center"/>
              <w:rPr>
                <w:sz w:val="25"/>
                <w:szCs w:val="25"/>
                <w:lang w:val="ru-RU" w:eastAsia="ru-RU"/>
              </w:rPr>
            </w:pPr>
            <w:r>
              <w:rPr>
                <w:sz w:val="25"/>
                <w:szCs w:val="25"/>
                <w:lang w:val="ru-RU" w:eastAsia="ru-RU"/>
              </w:rPr>
              <w:t>и в период</w:t>
            </w:r>
          </w:p>
          <w:p>
            <w:pPr>
              <w:pStyle w:val="BodyText"/>
              <w:jc w:val="center"/>
              <w:rPr>
                <w:sz w:val="25"/>
                <w:szCs w:val="25"/>
                <w:lang w:val="ru-RU" w:eastAsia="ru-RU"/>
              </w:rPr>
            </w:pPr>
            <w:r>
              <w:rPr>
                <w:sz w:val="25"/>
                <w:szCs w:val="25"/>
                <w:lang w:val="ru-RU" w:eastAsia="ru-RU"/>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Организация выездов сотрудников МЧС Республики Татарстан в населенные пункты республики, попадающие в зону возможного затопления, в целях оказания методической и практической помощи по вопросам подготовки и проведения противопаводковых мероприятий</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 xml:space="preserve">МЧС Республики Татарстан, рабочая группа КЧСиОПБ Республики Татарстан </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Предоставление в ГУ МЧС России по Республике           Татарстан и МЧС Республики Татарстан характеристик ожидаемого половодья, прогноза максимальных уровней воды на реках Республики Татарстан,  прогнозов сроков вскрытия рек и очищения водохранилищ</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федеральное государственное бюджетное учреждение «Управление по гидрометеорологии и мониторингу окружающей среды Республики Татарстан» (далее –              ФГБУ «УГМС Республики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pPr>
            <w:r>
              <w:rPr>
                <w:sz w:val="25"/>
                <w:szCs w:val="25"/>
                <w:lang w:val="ru-RU" w:eastAsia="ru-RU"/>
              </w:rPr>
              <w:t>до 15.03.2026</w:t>
            </w:r>
          </w:p>
          <w:p>
            <w:pPr>
              <w:pStyle w:val="BodyText"/>
              <w:jc w:val="center"/>
              <w:rPr>
                <w:sz w:val="25"/>
                <w:szCs w:val="25"/>
                <w:lang w:val="ru-RU" w:eastAsia="ru-RU"/>
              </w:rPr>
            </w:pPr>
            <w:r>
              <w:rPr>
                <w:sz w:val="25"/>
                <w:szCs w:val="25"/>
                <w:lang w:val="ru-RU" w:eastAsia="ru-RU"/>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val="ru-RU" w:eastAsia="ru-RU"/>
              </w:rPr>
            </w:pPr>
            <w:r>
              <w:rPr>
                <w:sz w:val="25"/>
                <w:szCs w:val="25"/>
                <w:lang w:val="ru-RU"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Предоставление в ГУ МЧС России по Республике            Татарстан данных о текущем состоянии водных объектов (в рамках ежедневного информационного гидрометеорологического бюллетеня)</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ФГБУ «УГМС Республики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в период</w:t>
            </w:r>
          </w:p>
          <w:p>
            <w:pPr>
              <w:pStyle w:val="BodyText"/>
              <w:jc w:val="center"/>
              <w:rPr>
                <w:sz w:val="25"/>
                <w:szCs w:val="25"/>
                <w:lang w:val="ru-RU" w:eastAsia="ru-RU"/>
              </w:rPr>
            </w:pPr>
            <w:r>
              <w:rPr>
                <w:sz w:val="25"/>
                <w:szCs w:val="25"/>
                <w:lang w:val="ru-RU" w:eastAsia="ru-RU"/>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sz w:val="25"/>
                <w:szCs w:val="25"/>
                <w:lang w:val="ru-RU" w:eastAsia="ru-RU"/>
              </w:rPr>
            </w:pPr>
            <w:r>
              <w:rPr>
                <w:sz w:val="25"/>
                <w:szCs w:val="25"/>
                <w:lang w:val="ru-RU" w:eastAsia="ru-RU"/>
              </w:rPr>
              <w:t>Предоставление в ГУ МЧС России по Республике            Татарстан и МЧС Республики Татарстан прогнозов притока воды в водохранилища Волжско-Камского каскада</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ФГБУ «УГМС Республики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 xml:space="preserve"> </w:t>
            </w:r>
            <w:r>
              <w:rPr>
                <w:sz w:val="25"/>
                <w:szCs w:val="25"/>
                <w:lang w:val="ru-RU" w:eastAsia="ru-RU"/>
              </w:rPr>
              <w:t>15.03.2026 – 01.06.2026</w:t>
            </w:r>
          </w:p>
          <w:p>
            <w:pPr>
              <w:pStyle w:val="BodyText"/>
              <w:jc w:val="center"/>
              <w:rPr>
                <w:sz w:val="25"/>
                <w:szCs w:val="25"/>
                <w:lang w:val="ru-RU" w:eastAsia="ru-RU"/>
              </w:rPr>
            </w:pPr>
            <w:r>
              <w:rPr>
                <w:sz w:val="25"/>
                <w:szCs w:val="25"/>
                <w:lang w:val="ru-RU" w:eastAsia="ru-RU"/>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val="ru-RU" w:eastAsia="ru-RU"/>
              </w:rPr>
            </w:pPr>
            <w:r>
              <w:rPr>
                <w:sz w:val="25"/>
                <w:szCs w:val="25"/>
                <w:lang w:val="ru-RU"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BodyText"/>
              <w:spacing w:lineRule="auto" w:line="228"/>
              <w:rPr>
                <w:sz w:val="25"/>
                <w:szCs w:val="25"/>
                <w:lang w:val="ru-RU" w:eastAsia="ru-RU"/>
              </w:rPr>
            </w:pPr>
            <w:r>
              <w:rPr>
                <w:sz w:val="25"/>
                <w:szCs w:val="25"/>
                <w:lang w:val="ru-RU" w:eastAsia="ru-RU"/>
              </w:rPr>
              <w:t>Районирование территории республики по зонам возможного подтопления и подготовка на основании сведений о складывающихся метеоусловиях прогнозно-расчетных сценариев и моделей развития наиболее вероятного и наихудшего сценариев развития паводка</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МЧС Республики Татарстан, ГУ МЧС России по Республике Татарстан (по согласовани</w:t>
            </w:r>
            <w:bookmarkStart w:id="2" w:name="_GoBack_Копия_2"/>
            <w:bookmarkEnd w:id="2"/>
            <w:r>
              <w:rPr>
                <w:sz w:val="25"/>
                <w:szCs w:val="25"/>
              </w:rPr>
              <w:t>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 xml:space="preserve">до начала и </w:t>
            </w:r>
          </w:p>
          <w:p>
            <w:pPr>
              <w:pStyle w:val="Normal"/>
              <w:spacing w:lineRule="auto" w:line="228"/>
              <w:jc w:val="center"/>
              <w:rPr>
                <w:sz w:val="25"/>
                <w:szCs w:val="25"/>
              </w:rPr>
            </w:pPr>
            <w:r>
              <w:rPr>
                <w:sz w:val="25"/>
                <w:szCs w:val="25"/>
              </w:rPr>
              <w:t>в период</w:t>
            </w:r>
          </w:p>
          <w:p>
            <w:pPr>
              <w:pStyle w:val="BodyText"/>
              <w:spacing w:lineRule="auto" w:line="228"/>
              <w:jc w:val="center"/>
              <w:rPr>
                <w:sz w:val="25"/>
                <w:szCs w:val="25"/>
                <w:lang w:val="ru-RU" w:eastAsia="ru-RU"/>
              </w:rPr>
            </w:pPr>
            <w:r>
              <w:rPr>
                <w:sz w:val="25"/>
                <w:szCs w:val="25"/>
                <w:lang w:val="ru-RU" w:eastAsia="ru-RU"/>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Организация функционирования временной наблюдательной сети (гидрологических постов) для контроля уровня воды на водных объектах республики, состояния потенциально опасных и аварийных гидротехнических сооружений</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органы местного самоуправления муниципальных образований Республики Татарстан (далее – органы местного самоуправления) (по согласованию), КЧСиОПБ муниципальных образований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до начала</w:t>
            </w:r>
          </w:p>
          <w:p>
            <w:pPr>
              <w:pStyle w:val="Normal"/>
              <w:spacing w:lineRule="auto" w:line="228"/>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Принятие мер, направленных на обеспечение своевременности и полноты передачи прогностической и мониторинговой гидрометеорологической информации, связанной с развитием паводковой обстановки</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органы местного самоуправления (по согласованию), 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в период</w:t>
            </w:r>
          </w:p>
          <w:p>
            <w:pPr>
              <w:pStyle w:val="Normal"/>
              <w:spacing w:lineRule="auto" w:line="228"/>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заседаний КЧСиОПБ муниципальных образований по вопросу готовности к паводку 2026 года,             организации первоочередного жизнеобеспечения населения. Оценка проведенных  противопаводковых  мероприятий с учетом результатов прохождения половодья предыдущих лет</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КЧСиОПБ муниципальных образований (по согласованию), МЧС Республики Татарстан</w:t>
            </w:r>
          </w:p>
          <w:p>
            <w:pPr>
              <w:pStyle w:val="Normal"/>
              <w:jc w:val="both"/>
              <w:rPr>
                <w:sz w:val="25"/>
                <w:szCs w:val="25"/>
              </w:rPr>
            </w:pPr>
            <w:r>
              <w:rPr>
                <w:sz w:val="25"/>
                <w:szCs w:val="25"/>
              </w:rPr>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Уточнение планов частичной эвакуации (отселения)  населения, сельскохозяйственных животных и материальных ценностей из зон возможного затопления паводковыми водами</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тренировок действий КЧСиОПБ муниципальных образований, оперативных групп по защите населения и территорий в период половодья</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председатели КЧСиОПБ муниципальных образований (по согласованию)</w:t>
            </w:r>
          </w:p>
          <w:p>
            <w:pPr>
              <w:pStyle w:val="Normal"/>
              <w:jc w:val="both"/>
              <w:rPr>
                <w:sz w:val="25"/>
                <w:szCs w:val="25"/>
              </w:rPr>
            </w:pPr>
            <w:r>
              <w:rPr>
                <w:sz w:val="25"/>
                <w:szCs w:val="25"/>
              </w:rPr>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Проверка работоспособности систем оповещения населения и КЧСиОПБ муниципальных образований</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pPr>
            <w:r>
              <w:rPr>
                <w:sz w:val="25"/>
                <w:szCs w:val="25"/>
              </w:rPr>
              <w:t>до 15.03.2026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радиосвязи с населенными пунктами, попадающими в зону затопления, проведение расчета сил и средств связи</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15.03.2026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контроля  за качеством поверхностных вод в местах накопления жидких отходов, хранения ядохимикатов и очистных сооружений</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 xml:space="preserve">Министерство экологии и природных ресурсов Республики Татарстан (в рамках полномочий), Управление Федеральной службы по ветеринарному и фитосанитарному надзору по Республике Татарстан (по согласованию) </w:t>
            </w:r>
          </w:p>
        </w:tc>
        <w:tc>
          <w:tcPr>
            <w:tcW w:w="2126" w:type="dxa"/>
            <w:tcBorders>
              <w:top w:val="single" w:sz="6" w:space="0" w:color="000000"/>
              <w:left w:val="single" w:sz="6" w:space="0" w:color="000000"/>
              <w:bottom w:val="single" w:sz="6" w:space="0" w:color="000000"/>
              <w:right w:val="single" w:sz="6" w:space="0" w:color="000000"/>
            </w:tcBorders>
          </w:tcPr>
          <w:p>
            <w:pPr>
              <w:pStyle w:val="1"/>
              <w:jc w:val="center"/>
              <w:rPr>
                <w:sz w:val="25"/>
                <w:szCs w:val="25"/>
              </w:rPr>
            </w:pPr>
            <w:r>
              <w:rPr>
                <w:sz w:val="25"/>
                <w:szCs w:val="25"/>
              </w:rPr>
              <w:t>в период</w:t>
            </w:r>
          </w:p>
          <w:p>
            <w:pPr>
              <w:pStyle w:val="1"/>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 xml:space="preserve">Формирование и обеспечение готовности рабочих  (оперативных) групп КЧСиОПБ муниципальных образований </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МЧС Республики Татарстан, 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15.03.2026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BodyText"/>
              <w:rPr>
                <w:color w:val="000000"/>
                <w:sz w:val="25"/>
                <w:szCs w:val="25"/>
                <w:shd w:fill="FFFFFF" w:val="clear"/>
                <w:lang w:val="ru-RU" w:eastAsia="ru-RU"/>
              </w:rPr>
            </w:pPr>
            <w:r>
              <w:rPr>
                <w:color w:val="000000"/>
                <w:sz w:val="25"/>
                <w:szCs w:val="25"/>
                <w:shd w:fill="FFFFFF" w:val="clear"/>
                <w:lang w:val="ru-RU" w:eastAsia="ru-RU"/>
              </w:rPr>
              <w:t>Предоставление в ГУ МЧС России по Республике Татарстан и МЧС Республики Татарстан сведений по силам и средствам, привлекаемым к мероприятиям по защите населения и территорий Республики Татарстан в период весеннего половодья 2026 года</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color w:val="000000"/>
                <w:sz w:val="25"/>
                <w:szCs w:val="25"/>
              </w:rPr>
            </w:pPr>
            <w:r>
              <w:rPr>
                <w:color w:val="000000"/>
                <w:sz w:val="25"/>
                <w:szCs w:val="25"/>
              </w:rPr>
              <w:t>Министерство внутренних дел по Республике Татарстан (по согласованию), Управление Федеральной службы войск национальной гвардии Российской Федерации по Республике Татарстан (Татарстану) (по согласованию), Министерство здравоохранения Республики Татарстан, Министерство сельского хозяйства Республики Татарстан, Министерство транспорта и дорожного хозяйства Республики Татарстан, ФГБУ «УГМС Республики Татарстан» (по согласованию) и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 xml:space="preserve"> </w:t>
            </w:r>
            <w:r>
              <w:rPr>
                <w:sz w:val="25"/>
                <w:szCs w:val="25"/>
                <w:lang w:val="ru-RU" w:eastAsia="ru-RU"/>
              </w:rPr>
              <w:t>до 01.02.2026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Доведение до населения правил поведения при возникновении чрезвычайных ситуаций, вызванных весенним половодьем</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МЧС Республики Татарстан, ГУ МЧС России по Республике Татарстан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color w:val="000000"/>
                <w:sz w:val="25"/>
                <w:szCs w:val="25"/>
                <w:shd w:fill="FFFFFF" w:val="clear"/>
              </w:rPr>
            </w:pPr>
            <w:r>
              <w:rPr>
                <w:color w:val="000000"/>
                <w:sz w:val="25"/>
                <w:szCs w:val="25"/>
                <w:shd w:fill="FFFFFF" w:val="clear"/>
              </w:rPr>
              <w:t xml:space="preserve">Корректировка Плана по смягчению рисков и реагированию на чрезвычайные ситуации в паводкоопасный период на территории Республики Татарстан                        в 2026 году </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color w:val="000000"/>
                <w:sz w:val="25"/>
                <w:szCs w:val="25"/>
                <w:shd w:fill="FFFFFF" w:val="clear"/>
              </w:rPr>
            </w:pPr>
            <w:r>
              <w:rPr>
                <w:color w:val="000000"/>
                <w:sz w:val="25"/>
                <w:szCs w:val="25"/>
                <w:shd w:fill="FFFFFF" w:val="clear"/>
              </w:rPr>
              <w:t>МЧС Республики Татарстан, ГУ МЧС России по Республике Татарстан (по согласованию), органы государственной власти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15.02.2026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Корректировка соглашений об организации информационного взаимодействия между исполнительными комитетами муниципальных образований и организациями, привлекаемыми к мероприятиям по защите населения и территорий Республики Татарстан в период весеннего половодья 2026 года</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Сбор и обработка информации в области предупреждения и ликвидации чрезвычайных ситуаций на гидротехнических сооружениях, а также обмен этой информацией с заинтересованными министерствами и ведомствами</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едиными дежурно-диспетчерскими службами муниципальных образований тренировок с дежурно-диспетчерскими службами организаций, ведомств, входящих в состав соответствующих муниципальных звеньев территориальной подсистемы единой государственной системы предупреждения и ликвидации чрезвычайных ситуаций</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по отдельному плану</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и проведение комплексной тренировки с органами управления и силами территориальной подсистемы предупреждения и ликвидации чрезвычайных ситуаций Республики Татарстан по ликвидации чрезвычайных ситуаций регионального и муниципального уровней в паводкоопасный период</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государственной власти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31.03.2026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Участие в совместных комплексных учениях по отработке вопросов ликвидации чрезвычайных ситуаций, связанных с весенним половодьем, природными пожарами, защитой населенных  пунктов, объектов экономики и социальной инфраструктуры от лесных пожаров, а также по отработке вопросов межрегионального маневрирования силами и средствами, предназначенными для тушения лесных пожаров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 xml:space="preserve">ГУ МЧС России по Республике Татарстан (по согласованию),  КЧСиОПБ  Республики  Татарстан, МЧС Республики Татарстан, </w:t>
            </w:r>
            <w:r>
              <w:rPr>
                <w:color w:val="000000"/>
                <w:sz w:val="25"/>
                <w:szCs w:val="25"/>
              </w:rPr>
              <w:t xml:space="preserve">территориальные органы </w:t>
            </w:r>
            <w:r>
              <w:rPr>
                <w:sz w:val="25"/>
                <w:szCs w:val="25"/>
              </w:rPr>
              <w:t>государственной</w:t>
            </w:r>
            <w:r>
              <w:rPr>
                <w:color w:val="000000"/>
                <w:sz w:val="25"/>
                <w:szCs w:val="25"/>
              </w:rPr>
              <w:t xml:space="preserve"> власти (по согласованию), органы </w:t>
            </w:r>
            <w:r>
              <w:rPr>
                <w:sz w:val="25"/>
                <w:szCs w:val="25"/>
              </w:rPr>
              <w:t>государственной</w:t>
            </w:r>
            <w:r>
              <w:rPr>
                <w:color w:val="000000"/>
                <w:sz w:val="25"/>
                <w:szCs w:val="25"/>
              </w:rPr>
              <w:t xml:space="preserve"> власти</w:t>
            </w:r>
            <w:r>
              <w:rPr>
                <w:sz w:val="25"/>
                <w:szCs w:val="25"/>
              </w:rPr>
              <w:t xml:space="preserve"> Республики Татарстан, </w:t>
            </w:r>
            <w:r>
              <w:rPr>
                <w:color w:val="000000"/>
                <w:sz w:val="25"/>
                <w:szCs w:val="25"/>
              </w:rPr>
              <w:t>органы местного самоуправления</w:t>
            </w:r>
            <w:r>
              <w:rPr>
                <w:sz w:val="25"/>
                <w:szCs w:val="25"/>
              </w:rPr>
              <w:t xml:space="preserve"> и организации Республики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ind w:right="-107"/>
              <w:jc w:val="center"/>
              <w:rPr/>
            </w:pPr>
            <w:r>
              <w:rPr>
                <w:sz w:val="25"/>
                <w:szCs w:val="25"/>
                <w:lang w:val="en-US"/>
              </w:rPr>
              <w:t>II</w:t>
            </w:r>
            <w:r>
              <w:rPr>
                <w:sz w:val="25"/>
                <w:szCs w:val="25"/>
              </w:rPr>
              <w:t xml:space="preserve"> квартал</w:t>
            </w:r>
          </w:p>
          <w:p>
            <w:pPr>
              <w:pStyle w:val="Normal"/>
              <w:ind w:right="-107"/>
              <w:jc w:val="center"/>
              <w:rPr>
                <w:sz w:val="25"/>
                <w:szCs w:val="25"/>
              </w:rPr>
            </w:pPr>
            <w:r>
              <w:rPr>
                <w:sz w:val="25"/>
                <w:szCs w:val="25"/>
              </w:rPr>
              <w:t>2026 года</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1"/>
              </w:numPr>
              <w:tabs>
                <w:tab w:val="clear" w:pos="720"/>
                <w:tab w:val="left" w:pos="177" w:leader="none"/>
              </w:tabs>
              <w:snapToGrid w:val="false"/>
              <w:ind w:hanging="0" w:left="0" w:right="0"/>
              <w:jc w:val="center"/>
              <w:rPr>
                <w:sz w:val="25"/>
                <w:szCs w:val="25"/>
                <w:lang w:eastAsia="en-US"/>
              </w:rPr>
            </w:pPr>
            <w:r>
              <w:rPr>
                <w:sz w:val="25"/>
                <w:szCs w:val="25"/>
                <w:lang w:eastAsia="en-US"/>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Проведение</w:t>
            </w:r>
            <w:r>
              <w:rPr>
                <w:spacing w:val="-5"/>
                <w:sz w:val="25"/>
                <w:szCs w:val="25"/>
              </w:rPr>
              <w:t xml:space="preserve"> штабной тренировки по отработке вопросов безаварийного пропуска весеннего половодья под руководством Главного управления МЧС России по Нижегородской области</w:t>
            </w:r>
          </w:p>
        </w:tc>
        <w:tc>
          <w:tcPr>
            <w:tcW w:w="6379" w:type="dxa"/>
            <w:tcBorders>
              <w:top w:val="single" w:sz="6" w:space="0" w:color="000000"/>
              <w:left w:val="single" w:sz="6" w:space="0" w:color="000000"/>
              <w:bottom w:val="single" w:sz="6" w:space="0" w:color="000000"/>
              <w:right w:val="single" w:sz="6" w:space="0" w:color="000000"/>
            </w:tcBorders>
          </w:tcPr>
          <w:p>
            <w:pPr>
              <w:pStyle w:val="Normal"/>
              <w:ind w:right="-107"/>
              <w:jc w:val="both"/>
              <w:rPr>
                <w:sz w:val="25"/>
                <w:szCs w:val="25"/>
              </w:rPr>
            </w:pPr>
            <w:r>
              <w:rPr>
                <w:sz w:val="25"/>
                <w:szCs w:val="25"/>
              </w:rPr>
              <w:t>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ind w:right="-107"/>
              <w:jc w:val="center"/>
              <w:rPr/>
            </w:pPr>
            <w:r>
              <w:rPr>
                <w:sz w:val="25"/>
                <w:szCs w:val="25"/>
                <w:lang w:val="en-US"/>
              </w:rPr>
              <w:t>I</w:t>
            </w:r>
            <w:r>
              <w:rPr>
                <w:sz w:val="25"/>
                <w:szCs w:val="25"/>
              </w:rPr>
              <w:t xml:space="preserve"> квартал</w:t>
            </w:r>
          </w:p>
          <w:p>
            <w:pPr>
              <w:pStyle w:val="Normal"/>
              <w:ind w:right="-107"/>
              <w:jc w:val="center"/>
              <w:rPr>
                <w:sz w:val="25"/>
                <w:szCs w:val="25"/>
              </w:rPr>
            </w:pPr>
            <w:r>
              <w:rPr>
                <w:sz w:val="25"/>
                <w:szCs w:val="25"/>
              </w:rPr>
              <w:t>2026 года</w:t>
            </w:r>
          </w:p>
        </w:tc>
      </w:tr>
      <w:tr>
        <w:trPr>
          <w:trHeight w:val="397" w:hRule="atLeast"/>
          <w:cantSplit w:val="true"/>
        </w:trPr>
        <w:tc>
          <w:tcPr>
            <w:tcW w:w="15309" w:type="dxa"/>
            <w:gridSpan w:val="4"/>
            <w:tcBorders>
              <w:top w:val="single" w:sz="6" w:space="0" w:color="000000"/>
              <w:left w:val="single" w:sz="6" w:space="0" w:color="000000"/>
              <w:bottom w:val="single" w:sz="6" w:space="0" w:color="000000"/>
              <w:right w:val="single" w:sz="6" w:space="0" w:color="000000"/>
            </w:tcBorders>
          </w:tcPr>
          <w:p>
            <w:pPr>
              <w:pStyle w:val="Heading3"/>
              <w:keepNext w:val="false"/>
              <w:tabs>
                <w:tab w:val="clear" w:pos="720"/>
                <w:tab w:val="left" w:pos="177" w:leader="none"/>
              </w:tabs>
              <w:rPr>
                <w:bCs/>
                <w:sz w:val="25"/>
                <w:szCs w:val="25"/>
              </w:rPr>
            </w:pPr>
            <w:r>
              <w:rPr>
                <w:bCs/>
                <w:sz w:val="25"/>
                <w:szCs w:val="25"/>
              </w:rPr>
              <w:t>Практические мероприятия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проведения взрывных работ на участках малых рек по ликвидации ледовых заторов</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ГУ МЧС России по Республике Татарстан (по согласованию), 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1"/>
              <w:jc w:val="center"/>
              <w:rPr>
                <w:sz w:val="25"/>
                <w:szCs w:val="25"/>
              </w:rPr>
            </w:pPr>
            <w:r>
              <w:rPr>
                <w:sz w:val="25"/>
                <w:szCs w:val="25"/>
              </w:rPr>
              <w:t>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проведения работ по подготовке гидротехнических сооружений (объектов инженерной защиты, прудов, плотин, дамб и т.п.) к пропуску максимальных объемов талых вод, а также поддержание гидравлического режима работы гидротехнических сооружений путем опорожнения до минимального зимнего (безопасного) уровня объема водохранилищ (прудов) открытием и регулированием задвижек на донном водовыпуске</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собственники и эксплуатирующие организации гидротехнических сооружений (по согласованию), органы местного самоуправления (по согласованию)</w:t>
            </w:r>
          </w:p>
          <w:p>
            <w:pPr>
              <w:pStyle w:val="1"/>
              <w:jc w:val="both"/>
              <w:rPr>
                <w:sz w:val="25"/>
                <w:szCs w:val="25"/>
              </w:rPr>
            </w:pPr>
            <w:r>
              <w:rPr>
                <w:sz w:val="25"/>
                <w:szCs w:val="25"/>
              </w:rPr>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Предупреждение возникновения заторов и зажоров льда, организация дробления льда, пропуск ледовых образований через водосбросные отверстия по всему фронту гидротехнических сооружений</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собственники и эксплуатирующие организации гидротехнических сооружений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1"/>
              <w:jc w:val="center"/>
              <w:rPr>
                <w:sz w:val="25"/>
                <w:szCs w:val="25"/>
              </w:rPr>
            </w:pPr>
            <w:r>
              <w:rPr>
                <w:sz w:val="25"/>
                <w:szCs w:val="25"/>
              </w:rPr>
              <w:t>в период</w:t>
            </w:r>
          </w:p>
          <w:p>
            <w:pPr>
              <w:pStyle w:val="1"/>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Усиление надзора за сооружениями  инженерной  защиты,  организация  круглосуточного  дежурства  и  надежной системы оповещения и связи в случае прогноза  интенсивных паводков</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собственники и эксплуатирующие организации гидротехнических сооружений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начала</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color w:val="000000"/>
                <w:sz w:val="25"/>
                <w:szCs w:val="25"/>
              </w:rPr>
            </w:pPr>
            <w:r>
              <w:rPr>
                <w:color w:val="000000"/>
                <w:sz w:val="25"/>
                <w:szCs w:val="25"/>
              </w:rPr>
              <w:t>Организация проведения работ по чернению и распиловке льда на затороопасных участках  водных объектов Республики Татарстан</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5"/>
                <w:szCs w:val="25"/>
              </w:rPr>
            </w:pPr>
            <w:r>
              <w:rPr>
                <w:color w:val="000000"/>
                <w:sz w:val="25"/>
                <w:szCs w:val="25"/>
              </w:rPr>
              <w:t>март 2026 года</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color w:val="000000"/>
                <w:sz w:val="25"/>
                <w:szCs w:val="25"/>
              </w:rPr>
            </w:pPr>
            <w:r>
              <w:rPr>
                <w:color w:val="000000"/>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Подготовка возле населенных пунктов, подверженных подтоплению, временных вертолетных площадок (при наличии возможности) для оказания помощи населению посредством применения авиационной техники</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до 01.03.2026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Обеспечение единых дежурно-диспетчерских служб муниципальных образований актуализированными телефонными справочниками с данными дежурно-диспетчерских служб организаций, ведомств, входящих в состав муниципального звена территориальной подсистемы единой государственной системы предупреждения и ликвидации чрезвычайных ситуаций, ответственных должностных лиц</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до 01.03.2026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Повторное обследование мелиоративных систем и гидротехнических сооружений в целях своевременного обнаружения и устранения нарушений, допущенных в процессе ремонта и неблагоприятных последствий зимнего периода</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собственники и эксплуатирующие организации гидротехнических сооружений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до 25.03.2026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Проведение на территориях муниципальных образований проверок гидротехнических сооружений, представляющих угрозу для населения и территории, безопасная эксплуатация которых не может быть обеспечена</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собственники и эксплуатирующие организации гидротехнических сооружений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Подготовка предложений в Межведомственную рабочую группу по регулированию режимов работы водохранилищ Волжско-Камского каскада Федерального агентства водных ресурсов по установлению режимов работы Куйбышевского и Нижнекамского водохранилищ для достижения оптимальных уровней водохранилищ в предпаводковый и паводковый периоды</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Министерство экологии и природных ресурсов Республики Татарстан, МЧС Республики Татарстан</w:t>
            </w:r>
          </w:p>
          <w:p>
            <w:pPr>
              <w:pStyle w:val="Normal"/>
              <w:spacing w:lineRule="auto" w:line="228"/>
              <w:jc w:val="both"/>
              <w:rPr>
                <w:bCs/>
                <w:sz w:val="25"/>
                <w:szCs w:val="25"/>
              </w:rPr>
            </w:pPr>
            <w:r>
              <w:rPr>
                <w:bCs/>
                <w:sz w:val="25"/>
                <w:szCs w:val="25"/>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pPr>
            <w:r>
              <w:rPr>
                <w:sz w:val="25"/>
                <w:szCs w:val="25"/>
              </w:rPr>
              <w:t>до 01.06.2026</w:t>
            </w:r>
          </w:p>
          <w:p>
            <w:pPr>
              <w:pStyle w:val="Normal"/>
              <w:spacing w:lineRule="auto" w:line="228"/>
              <w:jc w:val="center"/>
              <w:rPr>
                <w:sz w:val="25"/>
                <w:szCs w:val="25"/>
              </w:rPr>
            </w:pPr>
            <w:r>
              <w:rPr>
                <w:sz w:val="25"/>
                <w:szCs w:val="25"/>
              </w:rPr>
            </w:r>
          </w:p>
          <w:p>
            <w:pPr>
              <w:pStyle w:val="Normal"/>
              <w:spacing w:lineRule="auto" w:line="228"/>
              <w:jc w:val="center"/>
              <w:rPr>
                <w:sz w:val="25"/>
                <w:szCs w:val="25"/>
              </w:rPr>
            </w:pPr>
            <w:r>
              <w:rPr>
                <w:sz w:val="25"/>
                <w:szCs w:val="25"/>
              </w:rPr>
            </w:r>
          </w:p>
          <w:p>
            <w:pPr>
              <w:pStyle w:val="Normal"/>
              <w:spacing w:lineRule="auto" w:line="228"/>
              <w:jc w:val="center"/>
              <w:rPr>
                <w:sz w:val="25"/>
                <w:szCs w:val="25"/>
              </w:rPr>
            </w:pPr>
            <w:r>
              <w:rPr>
                <w:sz w:val="25"/>
                <w:szCs w:val="25"/>
              </w:rPr>
            </w:r>
          </w:p>
          <w:p>
            <w:pPr>
              <w:pStyle w:val="Normal"/>
              <w:spacing w:lineRule="auto" w:line="228"/>
              <w:jc w:val="center"/>
              <w:rPr>
                <w:sz w:val="25"/>
                <w:szCs w:val="25"/>
              </w:rPr>
            </w:pPr>
            <w:r>
              <w:rPr>
                <w:sz w:val="25"/>
                <w:szCs w:val="25"/>
              </w:rPr>
            </w:r>
          </w:p>
          <w:p>
            <w:pPr>
              <w:pStyle w:val="Normal"/>
              <w:spacing w:lineRule="auto" w:line="228"/>
              <w:jc w:val="center"/>
              <w:rPr>
                <w:sz w:val="25"/>
                <w:szCs w:val="25"/>
              </w:rPr>
            </w:pPr>
            <w:r>
              <w:rPr>
                <w:sz w:val="25"/>
                <w:szCs w:val="25"/>
              </w:rPr>
            </w:r>
          </w:p>
          <w:p>
            <w:pPr>
              <w:pStyle w:val="Normal"/>
              <w:spacing w:lineRule="auto" w:line="228"/>
              <w:rPr>
                <w:sz w:val="25"/>
                <w:szCs w:val="25"/>
              </w:rPr>
            </w:pPr>
            <w:r>
              <w:rPr>
                <w:sz w:val="25"/>
                <w:szCs w:val="25"/>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Контроль за соблюдением установленного режима работы водохранилищ для принятия своевременных мер по недопущению затопления прилегающих территорий и оповещения населения в случае угрозы затопления</w:t>
            </w:r>
          </w:p>
        </w:tc>
        <w:tc>
          <w:tcPr>
            <w:tcW w:w="6379"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pPr>
            <w:r>
              <w:rPr>
                <w:sz w:val="25"/>
                <w:szCs w:val="25"/>
              </w:rPr>
              <w:t>Отдел водных ресурсов по Республике Татарстан Нижне-Волжского бассейнового водного управления Федерального агентства водных ресурсов (по согласованию),  филиал «Средволгаводхоз» федерального государственного бюджетного водохозяйственного учреждения «Центррегионводхоз» (далее – филиал «Средволгаводхоз») (по согласованию), 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28"/>
              <w:jc w:val="center"/>
              <w:rPr>
                <w:sz w:val="25"/>
                <w:szCs w:val="25"/>
              </w:rPr>
            </w:pPr>
            <w:r>
              <w:rPr>
                <w:sz w:val="25"/>
                <w:szCs w:val="25"/>
              </w:rPr>
              <w:t xml:space="preserve">в период </w:t>
            </w:r>
          </w:p>
          <w:p>
            <w:pPr>
              <w:pStyle w:val="Normal"/>
              <w:spacing w:lineRule="auto" w:line="228"/>
              <w:jc w:val="center"/>
              <w:rPr>
                <w:sz w:val="25"/>
                <w:szCs w:val="25"/>
              </w:rPr>
            </w:pPr>
            <w:r>
              <w:rPr>
                <w:sz w:val="25"/>
                <w:szCs w:val="25"/>
              </w:rPr>
              <w:t>половодья</w:t>
            </w:r>
          </w:p>
          <w:p>
            <w:pPr>
              <w:pStyle w:val="Normal"/>
              <w:spacing w:lineRule="auto" w:line="228"/>
              <w:jc w:val="center"/>
              <w:rPr>
                <w:sz w:val="25"/>
                <w:szCs w:val="25"/>
              </w:rPr>
            </w:pPr>
            <w:r>
              <w:rPr>
                <w:sz w:val="25"/>
                <w:szCs w:val="25"/>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Формирование  перечня  гидротехнических сооружений, подлежащих капитальному ремонту в 2026 году, в рамках государственной программы Республики Татарстан «Охрана окружающей среды, воспроизводство и использование природных ресурсов Республики Татарстан» регионального проекта «Защита от наводнений и иных негативных воздействий вод, обеспечение безопасности гидротехнических сооружений на территории Республики Татарстан», регионального проекта «Развитие водохозяйственного комплекса Республики</w:t>
            </w:r>
          </w:p>
          <w:p>
            <w:pPr>
              <w:pStyle w:val="Normal"/>
              <w:spacing w:lineRule="auto" w:line="228"/>
              <w:jc w:val="both"/>
              <w:rPr>
                <w:sz w:val="25"/>
                <w:szCs w:val="25"/>
              </w:rPr>
            </w:pPr>
            <w:r>
              <w:rPr>
                <w:sz w:val="25"/>
                <w:szCs w:val="25"/>
              </w:rPr>
              <w:t>Татарстан»</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ind w:left="34" w:right="0"/>
              <w:jc w:val="both"/>
              <w:rPr>
                <w:sz w:val="25"/>
                <w:szCs w:val="25"/>
              </w:rPr>
            </w:pPr>
            <w:r>
              <w:rPr>
                <w:sz w:val="25"/>
                <w:szCs w:val="25"/>
              </w:rPr>
              <w:t>Министерство экологии и природных ресурсов Республики Татарстан, органы государственной власти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01.05.2026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комиссионного обследования гидротехнических сооружений согласно перечню, утвержденному по отдельному плану, а также гидротехнических сооружений, право собственности на которые не зарегистрировано (переданных по актам приема-передачи). Составление актов обследования гидротехнических сооружений</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 Приволжское управление Федеральной службы по экологическому, технологическому и атомному надзору (по согласованию), МЧС Республики Татарстан, 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pPr>
            <w:r>
              <w:rPr>
                <w:sz w:val="25"/>
                <w:szCs w:val="25"/>
              </w:rPr>
              <w:t>до 30.04.202</w:t>
            </w:r>
            <w:r>
              <w:rPr>
                <w:sz w:val="25"/>
                <w:szCs w:val="25"/>
                <w:lang w:eastAsia="ru-RU"/>
              </w:rPr>
              <w:t>6</w:t>
            </w:r>
          </w:p>
          <w:p>
            <w:pPr>
              <w:pStyle w:val="BodyText"/>
              <w:ind w:firstLine="602" w:right="0"/>
              <w:jc w:val="center"/>
              <w:rPr>
                <w:sz w:val="25"/>
                <w:szCs w:val="25"/>
                <w:lang w:val="ru-RU" w:eastAsia="ru-RU"/>
              </w:rPr>
            </w:pPr>
            <w:r>
              <w:rPr>
                <w:sz w:val="25"/>
                <w:szCs w:val="25"/>
                <w:lang w:val="ru-RU" w:eastAsia="ru-RU"/>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lang w:val="ru-RU" w:eastAsia="ru-RU"/>
              </w:rPr>
            </w:pPr>
            <w:r>
              <w:rPr>
                <w:sz w:val="25"/>
                <w:szCs w:val="25"/>
                <w:lang w:val="ru-RU"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color w:val="000000"/>
                <w:sz w:val="25"/>
                <w:szCs w:val="25"/>
              </w:rPr>
            </w:pPr>
            <w:r>
              <w:rPr>
                <w:color w:val="000000"/>
                <w:sz w:val="25"/>
                <w:szCs w:val="25"/>
              </w:rPr>
              <w:t>Проведение организационных и инженерно-технических мероприятий по недопущению загрязнения водоохранных зон водных объектов и ухудшения качества паводковых вод, особенно в районах накопления жидких отходов, очистных сооружений и в местах хранения ядохимикатов, въезда автотранспорта на ледовые покрытия рек и водоемов, ведомственных причалов, погрузки и разгрузки речного транспорта</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color w:val="000000"/>
                <w:sz w:val="25"/>
                <w:szCs w:val="25"/>
              </w:rPr>
            </w:pPr>
            <w:r>
              <w:rPr>
                <w:color w:val="000000"/>
                <w:sz w:val="25"/>
                <w:szCs w:val="25"/>
              </w:rPr>
              <w:t xml:space="preserve">органы местного самоуправления (по согласованию), Министерство экологии и природных ресурсов Республики Татарстан (в рамках полномочий), филиал «Средволгаводхоз» (по согласованию), Министерство строительства, архитектуры и жилищно-коммунального хозяйства Республики Татарстан </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color w:val="000000"/>
                <w:sz w:val="25"/>
                <w:szCs w:val="25"/>
                <w:lang w:val="ru-RU" w:eastAsia="ru-RU"/>
              </w:rPr>
            </w:pPr>
            <w:r>
              <w:rPr>
                <w:color w:val="000000"/>
                <w:sz w:val="25"/>
                <w:szCs w:val="25"/>
                <w:lang w:val="ru-RU" w:eastAsia="ru-RU"/>
              </w:rPr>
              <w:t xml:space="preserve">организационные мероприятия – до 15.03.2026, </w:t>
            </w:r>
          </w:p>
          <w:p>
            <w:pPr>
              <w:pStyle w:val="BodyText"/>
              <w:jc w:val="center"/>
              <w:rPr>
                <w:color w:val="000000"/>
                <w:sz w:val="25"/>
                <w:szCs w:val="25"/>
                <w:lang w:val="ru-RU" w:eastAsia="ru-RU"/>
              </w:rPr>
            </w:pPr>
            <w:r>
              <w:rPr>
                <w:color w:val="000000"/>
                <w:sz w:val="25"/>
                <w:szCs w:val="25"/>
                <w:lang w:val="ru-RU" w:eastAsia="ru-RU"/>
              </w:rPr>
              <w:t>практические –</w:t>
              <w:br/>
              <w:t>в период 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color w:val="000000"/>
                <w:sz w:val="25"/>
                <w:szCs w:val="25"/>
                <w:lang w:eastAsia="ru-RU"/>
              </w:rPr>
            </w:pPr>
            <w:r>
              <w:rPr>
                <w:color w:val="000000"/>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color w:val="000000"/>
                <w:sz w:val="25"/>
                <w:szCs w:val="25"/>
              </w:rPr>
              <w:t>Проведение обследования сельскохозяйственных объектов и скотомогильников (в том числе сибиреязвенных), попадающих в зону возможного затопления паводковыми водами,</w:t>
            </w:r>
            <w:r>
              <w:rPr>
                <w:bCs/>
                <w:iCs/>
                <w:color w:val="000000"/>
                <w:sz w:val="25"/>
                <w:szCs w:val="25"/>
              </w:rPr>
              <w:t xml:space="preserve"> в соответствии с ветеринарно-санитарными требованиями</w:t>
            </w:r>
            <w:r>
              <w:rPr>
                <w:color w:val="000000"/>
                <w:sz w:val="25"/>
                <w:szCs w:val="25"/>
              </w:rPr>
              <w:t>. Организация проведения мероприятий, направленных на предупреждение затопления скотомогильников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Управление Федеральной службы по ветеринарному и фитосанитарному надзору по Республике Татарстан (по согласованию),  Главное управление ветеринарии Кабинета Министров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01.04.2026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spacing w:lineRule="auto" w:line="228"/>
              <w:ind w:hanging="0" w:left="0" w:right="0"/>
              <w:jc w:val="center"/>
              <w:rPr>
                <w:color w:val="000000"/>
                <w:sz w:val="25"/>
                <w:szCs w:val="25"/>
              </w:rPr>
            </w:pPr>
            <w:r>
              <w:rPr>
                <w:color w:val="000000"/>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 xml:space="preserve">Организация проведения мероприятий по очистке водопропускных труб, ливнестоков, каналов, сооружений ливневой  канализации  на  дорогах в городах и районах, мест хранения минеральных удобрений и агрохимикатов для пропуска максимальных объемов талых вод </w:t>
            </w:r>
          </w:p>
          <w:p>
            <w:pPr>
              <w:pStyle w:val="Normal"/>
              <w:jc w:val="both"/>
              <w:rPr>
                <w:sz w:val="25"/>
                <w:szCs w:val="25"/>
              </w:rPr>
            </w:pPr>
            <w:r>
              <w:rPr>
                <w:sz w:val="25"/>
                <w:szCs w:val="25"/>
              </w:rPr>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bCs/>
                <w:sz w:val="25"/>
                <w:szCs w:val="25"/>
              </w:rPr>
              <w:t>государственное казенное учреждение «Главное управление содержания и развития дорожно-транспортного комплекса Татарстана при Министерстве транспорта и дорожного хозяйства Республики Татарстан» (далее – ГКУ «Главтатдортранс»), федеральное казенное учреждение «Федеральное управление автомобильных дорог Волго-Вятского региона Федерального дорожного агентства» (далее – ФКУ «Волго-Вятскуправтодор») (по согласованию), Казанский филиал Государственной компании «Российские автомобильные дороги» (далее – Казанский филиал ГК «Автодор») (по согласованию), органы местного самоуправления (по согласованию), Министерство сельского хозяйства и продовольствия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 xml:space="preserve">и в период </w:t>
            </w:r>
          </w:p>
          <w:p>
            <w:pPr>
              <w:pStyle w:val="Normal"/>
              <w:jc w:val="center"/>
              <w:rPr>
                <w:sz w:val="25"/>
                <w:szCs w:val="25"/>
              </w:rPr>
            </w:pPr>
            <w:r>
              <w:rPr>
                <w:sz w:val="25"/>
                <w:szCs w:val="25"/>
              </w:rPr>
              <w:t>половодья</w:t>
            </w:r>
          </w:p>
          <w:p>
            <w:pPr>
              <w:pStyle w:val="Normal"/>
              <w:jc w:val="center"/>
              <w:rPr>
                <w:sz w:val="25"/>
                <w:szCs w:val="25"/>
              </w:rPr>
            </w:pPr>
            <w:r>
              <w:rPr>
                <w:sz w:val="25"/>
                <w:szCs w:val="25"/>
              </w:rPr>
            </w:r>
          </w:p>
          <w:p>
            <w:pPr>
              <w:pStyle w:val="Normal"/>
              <w:jc w:val="center"/>
              <w:rPr>
                <w:sz w:val="25"/>
                <w:szCs w:val="25"/>
              </w:rPr>
            </w:pPr>
            <w:r>
              <w:rPr>
                <w:sz w:val="25"/>
                <w:szCs w:val="25"/>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spacing w:lineRule="auto" w:line="228"/>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 xml:space="preserve">Проведение обследования объектов электросетевого </w:t>
            </w:r>
            <w:r>
              <w:rPr>
                <w:color w:val="000000"/>
                <w:sz w:val="25"/>
                <w:szCs w:val="25"/>
              </w:rPr>
              <w:t>комплекса (линий электропередач, подстанций, трансформаторных подстанций</w:t>
            </w:r>
            <w:r>
              <w:rPr>
                <w:sz w:val="25"/>
                <w:szCs w:val="25"/>
              </w:rPr>
              <w:t>), попадающих в зону возможного затопления, газораспредели</w:t>
              <w:softHyphen/>
              <w:t>тельных сетей. Принятие мер по их безопасной эксплуатации</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color w:val="000000"/>
                <w:sz w:val="25"/>
                <w:szCs w:val="25"/>
              </w:rPr>
              <w:t>акционерное общество</w:t>
            </w:r>
            <w:r>
              <w:rPr>
                <w:sz w:val="25"/>
                <w:szCs w:val="25"/>
              </w:rPr>
              <w:t xml:space="preserve"> «Сетевая компания» (по согласованию), органы местного самоуправления (по согласованию), Приволжское управление Федеральной службы по экологическому, технологическому и атомному надзору (по согласованию</w:t>
            </w:r>
            <w:r>
              <w:rPr>
                <w:color w:val="000000"/>
                <w:sz w:val="25"/>
                <w:szCs w:val="25"/>
              </w:rPr>
              <w:t>), общество с ограниченной ответственностью</w:t>
            </w:r>
            <w:r>
              <w:rPr>
                <w:sz w:val="25"/>
                <w:szCs w:val="25"/>
              </w:rPr>
              <w:t xml:space="preserve"> «Газпром трансгаз Казань»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25.03.2026</w:t>
            </w:r>
          </w:p>
          <w:p>
            <w:pPr>
              <w:pStyle w:val="Normal"/>
              <w:jc w:val="center"/>
              <w:rPr>
                <w:sz w:val="25"/>
                <w:szCs w:val="25"/>
              </w:rPr>
            </w:pPr>
            <w:r>
              <w:rPr>
                <w:sz w:val="25"/>
                <w:szCs w:val="25"/>
              </w:rPr>
              <w:t xml:space="preserve">и в период </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spacing w:lineRule="auto" w:line="228"/>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Обследование и укрепление мостов, подготовка материалов и средств для их восстановления. Установление особого контроля за потенциально опасными низководными искусственными сооружениями. Определение мест возведения временных переправ и переходов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bCs/>
                <w:sz w:val="25"/>
                <w:szCs w:val="25"/>
              </w:rPr>
              <w:t>ГКУ «Главтатдортранс»</w:t>
            </w:r>
            <w:r>
              <w:rPr>
                <w:sz w:val="25"/>
                <w:szCs w:val="25"/>
              </w:rPr>
              <w:t xml:space="preserve">, ФКУ «Волго-Вятскуправтодор» (по согласованию), </w:t>
            </w:r>
            <w:r>
              <w:rPr>
                <w:bCs/>
                <w:sz w:val="25"/>
                <w:szCs w:val="25"/>
              </w:rPr>
              <w:t xml:space="preserve">Казанский филиал ГК «Автодор» (по согласованию), </w:t>
            </w: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p>
            <w:pPr>
              <w:pStyle w:val="Normal"/>
              <w:jc w:val="center"/>
              <w:rPr>
                <w:sz w:val="25"/>
                <w:szCs w:val="25"/>
              </w:rPr>
            </w:pPr>
            <w:r>
              <w:rPr>
                <w:sz w:val="25"/>
                <w:szCs w:val="25"/>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spacing w:lineRule="auto" w:line="228"/>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проверок готовности автодорог и искусственных сооружений к работе в период весеннего половодья и уровня их содержания</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pPr>
            <w:r>
              <w:rPr>
                <w:bCs/>
                <w:sz w:val="25"/>
                <w:szCs w:val="25"/>
              </w:rPr>
              <w:t>ГКУ «Главтатдортранс»</w:t>
            </w:r>
            <w:r>
              <w:rPr>
                <w:sz w:val="25"/>
                <w:szCs w:val="25"/>
              </w:rPr>
              <w:t xml:space="preserve">, ФКУ «Волго-Вятскуправтодор» (по согласованию), </w:t>
            </w:r>
            <w:r>
              <w:rPr>
                <w:bCs/>
                <w:sz w:val="25"/>
                <w:szCs w:val="25"/>
              </w:rPr>
              <w:t xml:space="preserve">Казанский филиал ГК «Автодор» (по согласованию), </w:t>
            </w: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начала</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1"/>
              <w:spacing w:lineRule="auto" w:line="228"/>
              <w:jc w:val="both"/>
              <w:rPr>
                <w:sz w:val="25"/>
                <w:szCs w:val="25"/>
              </w:rPr>
            </w:pPr>
            <w:r>
              <w:rPr>
                <w:sz w:val="25"/>
                <w:szCs w:val="25"/>
              </w:rPr>
              <w:t xml:space="preserve">Организация работ по отводу талых вод от жилых зданий и объектов систем жизнеобеспечения населения, попадающих в зоны возможного затопления </w:t>
            </w:r>
          </w:p>
        </w:tc>
        <w:tc>
          <w:tcPr>
            <w:tcW w:w="6379" w:type="dxa"/>
            <w:tcBorders>
              <w:top w:val="single" w:sz="6" w:space="0" w:color="000000"/>
              <w:left w:val="single" w:sz="6" w:space="0" w:color="000000"/>
              <w:bottom w:val="single" w:sz="6" w:space="0" w:color="000000"/>
              <w:right w:val="single" w:sz="6" w:space="0" w:color="000000"/>
            </w:tcBorders>
          </w:tcPr>
          <w:p>
            <w:pPr>
              <w:pStyle w:val="Normal"/>
              <w:spacing w:lineRule="auto" w:line="228"/>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25.03.2026</w:t>
            </w:r>
          </w:p>
          <w:p>
            <w:pPr>
              <w:pStyle w:val="Normal"/>
              <w:jc w:val="center"/>
              <w:rPr>
                <w:sz w:val="25"/>
                <w:szCs w:val="25"/>
              </w:rPr>
            </w:pPr>
            <w:r>
              <w:rPr>
                <w:sz w:val="25"/>
                <w:szCs w:val="25"/>
              </w:rPr>
              <w:t xml:space="preserve">и в период </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Обеспечение  оперативного  предоставления материально-технических средств для ликвидации чрезвычайных ситуаций на объектах коммунального хозяйства, вызванных весенним половодьем, из аварийно-технического запаса Министерства строительства, архитектуры и жилищно-коммунального хозяйства Республики Татарстан</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Министерство строительства, архитектуры и жилищно-коммунального хозяйства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25.03.2026</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Подготовка плавсредств, инженерной, дорожно-строительной и другой необходимой техники на случай проведения экстренных аварийно-восстановительных работ, обеспечение ее необходимым количеством топлива и смазочных материалов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20.03.2026</w:t>
            </w:r>
          </w:p>
          <w:p>
            <w:pPr>
              <w:pStyle w:val="Normal"/>
              <w:jc w:val="center"/>
              <w:rPr>
                <w:sz w:val="25"/>
                <w:szCs w:val="25"/>
              </w:rPr>
            </w:pPr>
            <w:r>
              <w:rPr>
                <w:sz w:val="25"/>
                <w:szCs w:val="25"/>
              </w:rPr>
            </w:r>
          </w:p>
          <w:p>
            <w:pPr>
              <w:pStyle w:val="Normal"/>
              <w:jc w:val="center"/>
              <w:rPr>
                <w:sz w:val="25"/>
                <w:szCs w:val="25"/>
              </w:rPr>
            </w:pPr>
            <w:r>
              <w:rPr>
                <w:sz w:val="25"/>
                <w:szCs w:val="25"/>
              </w:rPr>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Создание для ликвидации чрезвычайных ситуаций и их последствий запасов:</w:t>
            </w:r>
          </w:p>
          <w:p>
            <w:pPr>
              <w:pStyle w:val="Normal"/>
              <w:jc w:val="both"/>
              <w:rPr>
                <w:sz w:val="25"/>
                <w:szCs w:val="25"/>
              </w:rPr>
            </w:pPr>
            <w:r>
              <w:rPr>
                <w:sz w:val="25"/>
                <w:szCs w:val="25"/>
              </w:rPr>
              <w:t xml:space="preserve">финансовых, материально-технических средств; </w:t>
            </w:r>
          </w:p>
          <w:p>
            <w:pPr>
              <w:pStyle w:val="Normal"/>
              <w:jc w:val="both"/>
              <w:rPr>
                <w:sz w:val="25"/>
                <w:szCs w:val="25"/>
              </w:rPr>
            </w:pPr>
            <w:r>
              <w:rPr>
                <w:sz w:val="25"/>
                <w:szCs w:val="25"/>
              </w:rPr>
              <w:t>инертных и сорбирующих материалов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государственной власти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20.03.2026</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подготовительных работ для организации оказания медицинской помощи людям, пострадавшим в период половодья. Периодическое освежение резерва медицинских ресурсов</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Министерство здравоохранения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01.04.2026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подготовительных работ для первоочередного жизнеобеспечения населения, пострадавшего в период половодья</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государственной власти Республики Татарстан,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01.04.2026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Обеспечение создания дополнительных запасов (не менее чем на месяц работы) реагентов, обеззараживающих средств на предприятиях подготовки воды питьевого качества для принятия экстренных мер при ухудшении качества воды. Усиление производственного лабораторного контроля за качеством воды источников водоснабжения и качеством питьевой воды, подаваемой населению, проведение оценки защищенности водоносного горизонта и санитарной надежности водозаборных сооружений</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органы государственной власти Республики Татарстан, органы местного самоуправления (по согласованию), собственники и балансодержатели объектов водоснабжения и водоотведения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и </w:t>
            </w:r>
          </w:p>
          <w:p>
            <w:pPr>
              <w:pStyle w:val="Normal"/>
              <w:jc w:val="center"/>
              <w:rPr>
                <w:sz w:val="25"/>
                <w:szCs w:val="25"/>
              </w:rPr>
            </w:pPr>
            <w:r>
              <w:rPr>
                <w:sz w:val="25"/>
                <w:szCs w:val="25"/>
              </w:rPr>
              <w:t xml:space="preserve">в период </w:t>
            </w:r>
          </w:p>
          <w:p>
            <w:pPr>
              <w:pStyle w:val="Normal"/>
              <w:jc w:val="center"/>
              <w:rPr>
                <w:sz w:val="25"/>
                <w:szCs w:val="25"/>
              </w:rPr>
            </w:pPr>
            <w:r>
              <w:rPr>
                <w:sz w:val="25"/>
                <w:szCs w:val="25"/>
              </w:rPr>
              <w:t>половодья</w:t>
            </w:r>
          </w:p>
        </w:tc>
      </w:tr>
      <w:tr>
        <w:trPr>
          <w:trHeight w:val="23" w:hRule="atLeast"/>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Утверждение перечня мелиоративных работ по восстановлению гидротехнических сооружений, которые включают работы по проектированию, строительству, реконструкции,  восстановлению,  капитальному ремонту  плотин и  гидротехнических сооружений, в  2026 году за счет средств бюджета Республики Татарстан в рамках реализации регионального проекта «Развитие мелиорации земель сельскохозяйственного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tc>
        <w:tc>
          <w:tcPr>
            <w:tcW w:w="6379" w:type="dxa"/>
            <w:tcBorders>
              <w:top w:val="single" w:sz="6" w:space="0" w:color="000000"/>
              <w:left w:val="single" w:sz="6" w:space="0" w:color="000000"/>
              <w:bottom w:val="single" w:sz="6" w:space="0" w:color="000000"/>
              <w:right w:val="single" w:sz="6" w:space="0" w:color="000000"/>
            </w:tcBorders>
          </w:tcPr>
          <w:p>
            <w:pPr>
              <w:pStyle w:val="Normal"/>
              <w:ind w:left="33" w:right="0"/>
              <w:jc w:val="both"/>
              <w:rPr>
                <w:sz w:val="25"/>
                <w:szCs w:val="25"/>
              </w:rPr>
            </w:pPr>
            <w:r>
              <w:rPr>
                <w:sz w:val="25"/>
                <w:szCs w:val="25"/>
              </w:rPr>
              <w:t>Министерство сельского хозяйства и продовольствия Республики Татарстан, федеральное государственное бюджетное учреждение «Управление мелиорации земель и сельскохозяйственного водоснабжения по Приволжскому федеральному округу» (по согласованию), 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15.05.2026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Обеспечение условий для подвоза питьевой воды на случай затопления, подтопления источников питьевого водоснабжения населенных пунктов с учетом количества проживающего населения</w:t>
            </w:r>
          </w:p>
        </w:tc>
        <w:tc>
          <w:tcPr>
            <w:tcW w:w="6379" w:type="dxa"/>
            <w:tcBorders>
              <w:top w:val="single" w:sz="6" w:space="0" w:color="000000"/>
              <w:left w:val="single" w:sz="6" w:space="0" w:color="000000"/>
              <w:bottom w:val="single" w:sz="6" w:space="0" w:color="000000"/>
              <w:right w:val="single" w:sz="6" w:space="0" w:color="000000"/>
            </w:tcBorders>
          </w:tcPr>
          <w:p>
            <w:pPr>
              <w:pStyle w:val="Normal"/>
              <w:ind w:left="33" w:right="0"/>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начала</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pacing w:val="-2"/>
                <w:sz w:val="25"/>
                <w:szCs w:val="25"/>
              </w:rPr>
            </w:pPr>
            <w:r>
              <w:rPr>
                <w:spacing w:val="-2"/>
                <w:sz w:val="25"/>
                <w:szCs w:val="25"/>
              </w:rPr>
              <w:t>Подготовка автомобиля государственного казенного учреждения «Поисково-спасательная служба Республики Татарстан при МЧС Республики Татарстан» для перевозки взрывчатых материалов  при проведении работ по взрыванию льда в период весеннего половодья 2026 года</w:t>
            </w:r>
          </w:p>
        </w:tc>
        <w:tc>
          <w:tcPr>
            <w:tcW w:w="6379" w:type="dxa"/>
            <w:tcBorders>
              <w:top w:val="single" w:sz="6" w:space="0" w:color="000000"/>
              <w:left w:val="single" w:sz="6" w:space="0" w:color="000000"/>
              <w:bottom w:val="single" w:sz="6" w:space="0" w:color="000000"/>
              <w:right w:val="single" w:sz="6" w:space="0" w:color="000000"/>
            </w:tcBorders>
          </w:tcPr>
          <w:p>
            <w:pPr>
              <w:pStyle w:val="Normal"/>
              <w:ind w:left="33" w:right="0"/>
              <w:jc w:val="both"/>
              <w:rPr>
                <w:sz w:val="25"/>
                <w:szCs w:val="25"/>
              </w:rPr>
            </w:pPr>
            <w:r>
              <w:rPr>
                <w:sz w:val="25"/>
                <w:szCs w:val="25"/>
              </w:rPr>
              <w:t>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10.04.2026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Проведение профилактических мероприятий, направленных на предотвращение затопления, подтопления источников децентрализованного водоснабжения населения. В случае затопления, подтопления принятие мер по  их  промывке и дезинфекции в соответствии с нормативными документами</w:t>
            </w:r>
          </w:p>
        </w:tc>
        <w:tc>
          <w:tcPr>
            <w:tcW w:w="6379" w:type="dxa"/>
            <w:tcBorders>
              <w:top w:val="single" w:sz="6" w:space="0" w:color="000000"/>
              <w:left w:val="single" w:sz="6" w:space="0" w:color="000000"/>
              <w:bottom w:val="single" w:sz="6" w:space="0" w:color="000000"/>
              <w:right w:val="single" w:sz="6" w:space="0" w:color="000000"/>
            </w:tcBorders>
          </w:tcPr>
          <w:p>
            <w:pPr>
              <w:pStyle w:val="Normal"/>
              <w:ind w:left="33" w:right="0"/>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 xml:space="preserve">и в период </w:t>
            </w:r>
          </w:p>
          <w:p>
            <w:pPr>
              <w:pStyle w:val="Normal"/>
              <w:jc w:val="center"/>
              <w:rPr>
                <w:sz w:val="25"/>
                <w:szCs w:val="25"/>
              </w:rPr>
            </w:pPr>
            <w:r>
              <w:rPr>
                <w:sz w:val="25"/>
                <w:szCs w:val="25"/>
              </w:rPr>
              <w:t>половодья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В случае затопления, подтопления территорий домовладений, в том числе санитарных узлов, выгребных и надворных туалетов, принятие мер по проведению дезинфекционных мероприятий на территориях, прилегающих к домовладениям.</w:t>
            </w:r>
            <w:r>
              <w:rPr>
                <w:sz w:val="28"/>
                <w:szCs w:val="28"/>
              </w:rPr>
              <w:t xml:space="preserve"> </w:t>
            </w:r>
            <w:r>
              <w:rPr>
                <w:sz w:val="25"/>
                <w:szCs w:val="25"/>
              </w:rPr>
              <w:t>Заблаговременное заключение договоров со специализированными организациями на проведение дезинфекционных мероприятий</w:t>
            </w:r>
          </w:p>
        </w:tc>
        <w:tc>
          <w:tcPr>
            <w:tcW w:w="6379" w:type="dxa"/>
            <w:tcBorders>
              <w:top w:val="single" w:sz="6" w:space="0" w:color="000000"/>
              <w:left w:val="single" w:sz="6" w:space="0" w:color="000000"/>
              <w:bottom w:val="single" w:sz="6" w:space="0" w:color="000000"/>
              <w:right w:val="single" w:sz="6" w:space="0" w:color="000000"/>
            </w:tcBorders>
          </w:tcPr>
          <w:p>
            <w:pPr>
              <w:pStyle w:val="Normal"/>
              <w:ind w:left="33" w:right="0"/>
              <w:jc w:val="both"/>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после </w:t>
            </w:r>
          </w:p>
          <w:p>
            <w:pPr>
              <w:pStyle w:val="Normal"/>
              <w:jc w:val="center"/>
              <w:rPr>
                <w:sz w:val="25"/>
                <w:szCs w:val="25"/>
              </w:rPr>
            </w:pPr>
            <w:r>
              <w:rPr>
                <w:sz w:val="25"/>
                <w:szCs w:val="25"/>
              </w:rPr>
              <w:t xml:space="preserve">прохождения </w:t>
            </w:r>
          </w:p>
          <w:p>
            <w:pPr>
              <w:pStyle w:val="Normal"/>
              <w:jc w:val="center"/>
              <w:rPr>
                <w:sz w:val="25"/>
                <w:szCs w:val="25"/>
              </w:rPr>
            </w:pPr>
            <w:r>
              <w:rPr>
                <w:sz w:val="25"/>
                <w:szCs w:val="25"/>
              </w:rPr>
              <w:t>половодья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проверок готовности пунктов временного размещения с необходимым имуществом для организации первоочередного жизнеобеспечения населения</w:t>
            </w:r>
          </w:p>
        </w:tc>
        <w:tc>
          <w:tcPr>
            <w:tcW w:w="6379" w:type="dxa"/>
            <w:tcBorders>
              <w:top w:val="single" w:sz="6" w:space="0" w:color="000000"/>
              <w:left w:val="single" w:sz="6" w:space="0" w:color="000000"/>
              <w:bottom w:val="single" w:sz="6" w:space="0" w:color="000000"/>
              <w:right w:val="single" w:sz="6" w:space="0" w:color="000000"/>
            </w:tcBorders>
          </w:tcPr>
          <w:p>
            <w:pPr>
              <w:pStyle w:val="Normal"/>
              <w:rPr>
                <w:sz w:val="25"/>
                <w:szCs w:val="25"/>
              </w:rPr>
            </w:pPr>
            <w:r>
              <w:rPr>
                <w:sz w:val="25"/>
                <w:szCs w:val="25"/>
              </w:rPr>
              <w:t>органы местного самоуправления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25.03.2026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sz w:val="25"/>
                <w:szCs w:val="25"/>
              </w:rPr>
              <w:t xml:space="preserve">Организация мероприятий по восстановлению пропускной способности русел рек при угрозе возникновения или возникновении чрезвычайной ситуации на территории муниципального образования (в соответствии со  ст. 67 Федерального закона от 25 декабря 2023 года № 657-ФЗ «О внесении изменений в водный кодекс Российской Федерации и отдельные законодательные акты Российской Федерации» и постановлением Правительства Российской Федерации от 31 мая 2024 г. № 732 «Об утверждении Правил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w:t>
            </w:r>
          </w:p>
        </w:tc>
        <w:tc>
          <w:tcPr>
            <w:tcW w:w="6379" w:type="dxa"/>
            <w:tcBorders>
              <w:top w:val="single" w:sz="6" w:space="0" w:color="000000"/>
              <w:left w:val="single" w:sz="6" w:space="0" w:color="000000"/>
              <w:bottom w:val="single" w:sz="6" w:space="0" w:color="000000"/>
              <w:right w:val="single" w:sz="6" w:space="0" w:color="000000"/>
            </w:tcBorders>
          </w:tcPr>
          <w:p>
            <w:pPr>
              <w:pStyle w:val="Normal"/>
              <w:rPr>
                <w:sz w:val="25"/>
                <w:szCs w:val="25"/>
              </w:rPr>
            </w:pPr>
            <w:r>
              <w:rPr>
                <w:sz w:val="25"/>
                <w:szCs w:val="25"/>
              </w:rPr>
              <w:t>КЧСиОПБ муниципальных образований, органы местного самоуправления (по согласованию), Министерство экологии и природных ресурсов Республики Татарстан (в рамках полномочий),  филиал «Средволгаводхоз»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 xml:space="preserve">и в период </w:t>
            </w:r>
          </w:p>
          <w:p>
            <w:pPr>
              <w:pStyle w:val="Normal"/>
              <w:jc w:val="center"/>
              <w:rPr>
                <w:sz w:val="25"/>
                <w:szCs w:val="25"/>
              </w:rPr>
            </w:pPr>
            <w:r>
              <w:rPr>
                <w:sz w:val="25"/>
                <w:szCs w:val="25"/>
              </w:rPr>
              <w:t>половодья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2"/>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Обеспечение сопровождения при транспортировке взрывчатых веществ и средств взрывания, а также оцепления мест проведения взрывных работ по ликвидации заторов льда на водных объектах Республики Татарстан</w:t>
            </w:r>
          </w:p>
        </w:tc>
        <w:tc>
          <w:tcPr>
            <w:tcW w:w="6379" w:type="dxa"/>
            <w:tcBorders>
              <w:top w:val="single" w:sz="6" w:space="0" w:color="000000"/>
              <w:left w:val="single" w:sz="6" w:space="0" w:color="000000"/>
              <w:bottom w:val="single" w:sz="6" w:space="0" w:color="000000"/>
              <w:right w:val="single" w:sz="6" w:space="0" w:color="000000"/>
            </w:tcBorders>
          </w:tcPr>
          <w:p>
            <w:pPr>
              <w:pStyle w:val="1"/>
              <w:jc w:val="both"/>
              <w:rPr>
                <w:sz w:val="25"/>
                <w:szCs w:val="25"/>
              </w:rPr>
            </w:pPr>
            <w:r>
              <w:rPr>
                <w:sz w:val="25"/>
                <w:szCs w:val="25"/>
              </w:rPr>
              <w:t>Министерство внутренних дел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1"/>
              <w:jc w:val="center"/>
              <w:rPr>
                <w:sz w:val="25"/>
                <w:szCs w:val="25"/>
              </w:rPr>
            </w:pPr>
            <w:r>
              <w:rPr>
                <w:sz w:val="25"/>
                <w:szCs w:val="25"/>
              </w:rPr>
              <w:t>в период</w:t>
            </w:r>
          </w:p>
          <w:p>
            <w:pPr>
              <w:pStyle w:val="Normal"/>
              <w:jc w:val="center"/>
              <w:rPr>
                <w:sz w:val="25"/>
                <w:szCs w:val="25"/>
              </w:rPr>
            </w:pPr>
            <w:r>
              <w:rPr>
                <w:sz w:val="25"/>
                <w:szCs w:val="25"/>
              </w:rPr>
              <w:t>половодья</w:t>
            </w:r>
          </w:p>
        </w:tc>
      </w:tr>
      <w:tr>
        <w:trPr>
          <w:trHeight w:val="23" w:hRule="atLeast"/>
          <w:cantSplit w:val="true"/>
        </w:trPr>
        <w:tc>
          <w:tcPr>
            <w:tcW w:w="15309" w:type="dxa"/>
            <w:gridSpan w:val="4"/>
            <w:tcBorders>
              <w:top w:val="single" w:sz="6" w:space="0" w:color="000000"/>
              <w:left w:val="single" w:sz="6" w:space="0" w:color="000000"/>
              <w:bottom w:val="single" w:sz="6" w:space="0" w:color="000000"/>
              <w:right w:val="single" w:sz="6" w:space="0" w:color="000000"/>
            </w:tcBorders>
          </w:tcPr>
          <w:p>
            <w:pPr>
              <w:pStyle w:val="Heading3"/>
              <w:keepNext w:val="false"/>
              <w:tabs>
                <w:tab w:val="clear" w:pos="720"/>
                <w:tab w:val="left" w:pos="177" w:leader="none"/>
              </w:tabs>
              <w:rPr>
                <w:bCs/>
                <w:sz w:val="25"/>
                <w:szCs w:val="25"/>
              </w:rPr>
            </w:pPr>
            <w:r>
              <w:rPr>
                <w:bCs/>
                <w:sz w:val="25"/>
                <w:szCs w:val="25"/>
              </w:rPr>
              <w:t>Контрольные мероприятия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bCs/>
                <w:sz w:val="25"/>
                <w:szCs w:val="25"/>
              </w:rPr>
            </w:pPr>
            <w:r>
              <w:rPr>
                <w:bCs/>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Заслушивание докладов руководителей жилищно-коммунальных, дорожных, энергетических, медицинских предприятий и организаций о готовности к паводковому периоду</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КЧСиОПБ муниципальных образований (по согласованию)</w:t>
            </w:r>
          </w:p>
          <w:p>
            <w:pPr>
              <w:pStyle w:val="Normal"/>
              <w:jc w:val="both"/>
              <w:rPr>
                <w:sz w:val="25"/>
                <w:szCs w:val="25"/>
              </w:rPr>
            </w:pPr>
            <w:r>
              <w:rPr>
                <w:sz w:val="25"/>
                <w:szCs w:val="25"/>
              </w:rPr>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25.03.2026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Осуществление выборочного контроля межведомственной комиссией готовности муниципальных образований к паводкоопасному периоду в 2026 году</w:t>
            </w:r>
          </w:p>
        </w:tc>
        <w:tc>
          <w:tcPr>
            <w:tcW w:w="6379" w:type="dxa"/>
            <w:tcBorders>
              <w:top w:val="single" w:sz="6" w:space="0" w:color="000000"/>
              <w:left w:val="single" w:sz="6" w:space="0" w:color="000000"/>
              <w:bottom w:val="single" w:sz="6" w:space="0" w:color="000000"/>
              <w:right w:val="single" w:sz="6" w:space="0" w:color="000000"/>
            </w:tcBorders>
          </w:tcPr>
          <w:p>
            <w:pPr>
              <w:pStyle w:val="Normal"/>
              <w:rPr>
                <w:sz w:val="25"/>
                <w:szCs w:val="25"/>
              </w:rPr>
            </w:pPr>
            <w:r>
              <w:rPr>
                <w:sz w:val="25"/>
                <w:szCs w:val="25"/>
              </w:rPr>
              <w:t>ГУ МЧС России по Республике Татарстан (по согласованию), 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BodyText"/>
              <w:jc w:val="center"/>
              <w:rPr>
                <w:sz w:val="25"/>
                <w:szCs w:val="25"/>
                <w:lang w:val="ru-RU" w:eastAsia="ru-RU"/>
              </w:rPr>
            </w:pPr>
            <w:r>
              <w:rPr>
                <w:sz w:val="25"/>
                <w:szCs w:val="25"/>
                <w:lang w:val="ru-RU" w:eastAsia="ru-RU"/>
              </w:rPr>
              <w:t>25.02.2026 – 05.03.2026</w:t>
            </w:r>
          </w:p>
          <w:p>
            <w:pPr>
              <w:pStyle w:val="Normal"/>
              <w:jc w:val="center"/>
              <w:rPr>
                <w:sz w:val="25"/>
                <w:szCs w:val="25"/>
                <w:lang w:val="ru-RU" w:eastAsia="ru-RU"/>
              </w:rPr>
            </w:pPr>
            <w:r>
              <w:rPr>
                <w:sz w:val="25"/>
                <w:szCs w:val="25"/>
                <w:lang w:val="ru-RU" w:eastAsia="ru-RU"/>
              </w:rPr>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lang w:eastAsia="ru-RU"/>
              </w:rPr>
            </w:pPr>
            <w:r>
              <w:rPr>
                <w:sz w:val="25"/>
                <w:szCs w:val="25"/>
                <w:lang w:eastAsia="ru-RU"/>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санитарно-эпидемиологического контроля за качеством питьевой воды, состоянием открытых водоисточников, водозаборов, используемых для обеспечения населения питьевой водой</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Управление Федеральной службы по надзору в сфере защиты прав потребителей и благополучия человека по Республике Татарстан (Татарстан) (по согласованию), собственники и балансодержатели объектов водоснабжения и водоотведения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10.05.2026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Осуществление выборочного контроля за выполнением КЧСиОПБ муниципальных образований мероприятий настоящего Плана</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МЧС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01.04.2026</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Организация контроля за подготовкой и качеством проведения мероприятий по защите населения и территорий в период весеннего половодья подведомственными предприятиями и организациями</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органы государственной власти Республики Татарстан</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до 01.04.2026</w:t>
            </w:r>
          </w:p>
          <w:p>
            <w:pPr>
              <w:pStyle w:val="Normal"/>
              <w:jc w:val="center"/>
              <w:rPr>
                <w:sz w:val="25"/>
                <w:szCs w:val="25"/>
              </w:rPr>
            </w:pPr>
            <w:r>
              <w:rPr>
                <w:sz w:val="25"/>
                <w:szCs w:val="25"/>
              </w:rPr>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Своевременное информирование населения о фактическом и ожидаемом состоянии водных объектов, возможном затоплении населенных пунктов и объектов экономики, возникновении угрозы безопасности населения</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sz w:val="25"/>
                <w:szCs w:val="25"/>
              </w:rPr>
            </w:pPr>
            <w:r>
              <w:rPr>
                <w:sz w:val="25"/>
                <w:szCs w:val="25"/>
              </w:rPr>
              <w:t>ФГБУ «УГМС Республики Татарстан» (по согласованию), МЧС Республики Татарстан и ГУ МЧС России по Республике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 xml:space="preserve">до начала </w:t>
            </w:r>
          </w:p>
          <w:p>
            <w:pPr>
              <w:pStyle w:val="Normal"/>
              <w:jc w:val="center"/>
              <w:rPr>
                <w:sz w:val="25"/>
                <w:szCs w:val="25"/>
              </w:rPr>
            </w:pPr>
            <w:r>
              <w:rPr>
                <w:sz w:val="25"/>
                <w:szCs w:val="25"/>
              </w:rPr>
              <w:t>и в период</w:t>
            </w:r>
          </w:p>
          <w:p>
            <w:pPr>
              <w:pStyle w:val="Normal"/>
              <w:jc w:val="center"/>
              <w:rPr>
                <w:sz w:val="25"/>
                <w:szCs w:val="25"/>
              </w:rPr>
            </w:pPr>
            <w:r>
              <w:rPr>
                <w:sz w:val="25"/>
                <w:szCs w:val="25"/>
              </w:rPr>
              <w:t>половодья</w:t>
            </w:r>
          </w:p>
        </w:tc>
      </w:tr>
      <w:tr>
        <w:trPr>
          <w:trHeight w:val="23" w:hRule="atLeast"/>
          <w:cantSplit w:val="true"/>
        </w:trPr>
        <w:tc>
          <w:tcPr>
            <w:tcW w:w="567" w:type="dxa"/>
            <w:tcBorders>
              <w:top w:val="single" w:sz="6" w:space="0" w:color="000000"/>
              <w:left w:val="single" w:sz="6" w:space="0" w:color="000000"/>
              <w:bottom w:val="single" w:sz="6" w:space="0" w:color="000000"/>
              <w:right w:val="single" w:sz="6" w:space="0" w:color="000000"/>
            </w:tcBorders>
          </w:tcPr>
          <w:p>
            <w:pPr>
              <w:pStyle w:val="Normal"/>
              <w:numPr>
                <w:ilvl w:val="0"/>
                <w:numId w:val="3"/>
              </w:numPr>
              <w:tabs>
                <w:tab w:val="clear" w:pos="720"/>
                <w:tab w:val="left" w:pos="-107" w:leader="none"/>
                <w:tab w:val="left" w:pos="177" w:leader="none"/>
              </w:tabs>
              <w:snapToGrid w:val="false"/>
              <w:ind w:hanging="0" w:left="0" w:right="0"/>
              <w:jc w:val="center"/>
              <w:rPr>
                <w:sz w:val="25"/>
                <w:szCs w:val="25"/>
              </w:rPr>
            </w:pPr>
            <w:r>
              <w:rPr>
                <w:sz w:val="25"/>
                <w:szCs w:val="25"/>
              </w:rPr>
            </w:r>
          </w:p>
        </w:tc>
        <w:tc>
          <w:tcPr>
            <w:tcW w:w="6237" w:type="dxa"/>
            <w:tcBorders>
              <w:top w:val="single" w:sz="6" w:space="0" w:color="000000"/>
              <w:left w:val="single" w:sz="6" w:space="0" w:color="000000"/>
              <w:bottom w:val="single" w:sz="6" w:space="0" w:color="000000"/>
              <w:right w:val="single" w:sz="6" w:space="0" w:color="000000"/>
            </w:tcBorders>
          </w:tcPr>
          <w:p>
            <w:pPr>
              <w:pStyle w:val="Normal"/>
              <w:jc w:val="both"/>
              <w:rPr/>
            </w:pPr>
            <w:r>
              <w:rPr>
                <w:color w:val="000000"/>
                <w:sz w:val="25"/>
                <w:szCs w:val="25"/>
              </w:rPr>
              <w:t xml:space="preserve">Представление в МЧС Республики Татарстан и </w:t>
            </w:r>
            <w:r>
              <w:rPr>
                <w:sz w:val="25"/>
                <w:szCs w:val="25"/>
              </w:rPr>
              <w:t>ГУ МЧС России по Республике Татарстан</w:t>
            </w:r>
            <w:r>
              <w:rPr>
                <w:color w:val="000000"/>
                <w:sz w:val="25"/>
                <w:szCs w:val="25"/>
              </w:rPr>
              <w:t xml:space="preserve"> аналитической справки об особенностях прохождения весеннего половодья на водных объектах Республики Татарстан в  2026 году</w:t>
            </w:r>
          </w:p>
        </w:tc>
        <w:tc>
          <w:tcPr>
            <w:tcW w:w="6379" w:type="dxa"/>
            <w:tcBorders>
              <w:top w:val="single" w:sz="6" w:space="0" w:color="000000"/>
              <w:left w:val="single" w:sz="6" w:space="0" w:color="000000"/>
              <w:bottom w:val="single" w:sz="6" w:space="0" w:color="000000"/>
              <w:right w:val="single" w:sz="6" w:space="0" w:color="000000"/>
            </w:tcBorders>
          </w:tcPr>
          <w:p>
            <w:pPr>
              <w:pStyle w:val="Normal"/>
              <w:jc w:val="both"/>
              <w:rPr>
                <w:color w:val="000000"/>
                <w:sz w:val="25"/>
                <w:szCs w:val="25"/>
              </w:rPr>
            </w:pPr>
            <w:r>
              <w:rPr>
                <w:color w:val="000000"/>
                <w:sz w:val="25"/>
                <w:szCs w:val="25"/>
              </w:rPr>
              <w:t>ФГБУ «УГМС Республики Татарстан» (по согласованию)</w:t>
            </w:r>
          </w:p>
        </w:tc>
        <w:tc>
          <w:tcPr>
            <w:tcW w:w="2126" w:type="dxa"/>
            <w:tcBorders>
              <w:top w:val="single" w:sz="6" w:space="0" w:color="000000"/>
              <w:left w:val="single" w:sz="6" w:space="0" w:color="000000"/>
              <w:bottom w:val="single" w:sz="6" w:space="0" w:color="000000"/>
              <w:right w:val="single" w:sz="6" w:space="0" w:color="000000"/>
            </w:tcBorders>
          </w:tcPr>
          <w:p>
            <w:pPr>
              <w:pStyle w:val="Normal"/>
              <w:jc w:val="center"/>
              <w:rPr>
                <w:sz w:val="25"/>
                <w:szCs w:val="25"/>
              </w:rPr>
            </w:pPr>
            <w:r>
              <w:rPr>
                <w:sz w:val="25"/>
                <w:szCs w:val="25"/>
              </w:rPr>
              <w:t>по завершении периода весен- него половодья</w:t>
            </w:r>
          </w:p>
        </w:tc>
      </w:tr>
    </w:tbl>
    <w:p>
      <w:pPr>
        <w:pStyle w:val="Normal"/>
        <w:jc w:val="both"/>
        <w:rPr>
          <w:sz w:val="25"/>
          <w:szCs w:val="25"/>
        </w:rPr>
      </w:pPr>
      <w:r>
        <w:rPr>
          <w:sz w:val="25"/>
          <w:szCs w:val="25"/>
        </w:rPr>
      </w:r>
    </w:p>
    <w:p>
      <w:pPr>
        <w:pStyle w:val="Normal"/>
        <w:jc w:val="center"/>
        <w:rPr>
          <w:sz w:val="28"/>
        </w:rPr>
      </w:pPr>
      <w:r>
        <w:rPr>
          <w:sz w:val="28"/>
        </w:rPr>
        <w:t>______________________________________________</w:t>
      </w:r>
    </w:p>
    <w:p>
      <w:pPr>
        <w:pStyle w:val="1"/>
        <w:widowControl w:val="false"/>
        <w:tabs>
          <w:tab w:val="clear" w:pos="720"/>
          <w:tab w:val="left" w:pos="284" w:leader="none"/>
        </w:tabs>
        <w:jc w:val="both"/>
        <w:rPr/>
      </w:pPr>
      <w:r>
        <w:rPr/>
      </w:r>
      <w:r>
        <w:br w:type="page"/>
      </w:r>
    </w:p>
    <w:sectPr>
      <w:headerReference w:type="default" r:id="rId5"/>
      <w:headerReference w:type="first" r:id="rId6"/>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p>
    <w:pPr>
      <w:pStyle w:val="Header"/>
      <w:rPr>
        <w:sz w:val="12"/>
      </w:rPr>
    </w:pPr>
    <w:r>
      <w:rPr>
        <w:sz w:val="1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360" w:hanging="360"/>
      </w:pPr>
      <w:rPr>
        <w:b w:val="false"/>
      </w:rPr>
    </w:lvl>
  </w:abstractNum>
  <w:abstractNum w:abstractNumId="2">
    <w:lvl w:ilvl="0">
      <w:start w:val="1"/>
      <w:numFmt w:val="decimal"/>
      <w:suff w:val="nothing"/>
      <w:lvlText w:val="%1."/>
      <w:lvlJc w:val="left"/>
      <w:pPr>
        <w:tabs>
          <w:tab w:val="num" w:pos="0"/>
        </w:tabs>
        <w:ind w:left="786" w:hanging="360"/>
      </w:pPr>
      <w:rPr/>
    </w:lvl>
  </w:abstractNum>
  <w:abstractNum w:abstractNumId="3">
    <w:lvl w:ilvl="0">
      <w:start w:val="1"/>
      <w:numFmt w:val="decimal"/>
      <w:suff w:val="nothing"/>
      <w:lvlText w:val="%1."/>
      <w:lvlJc w:val="left"/>
      <w:pPr>
        <w:tabs>
          <w:tab w:val="num" w:pos="0"/>
        </w:tabs>
        <w:ind w:left="36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39a"/>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0f239a"/>
    <w:pPr>
      <w:keepNext w:val="true"/>
      <w:outlineLvl w:val="0"/>
    </w:pPr>
    <w:rPr>
      <w:sz w:val="28"/>
    </w:rPr>
  </w:style>
  <w:style w:type="paragraph" w:styleId="Heading2">
    <w:name w:val="Heading 2"/>
    <w:basedOn w:val="Normal"/>
    <w:next w:val="Normal"/>
    <w:qFormat/>
    <w:rsid w:val="000f239a"/>
    <w:pPr>
      <w:keepNext w:val="true"/>
      <w:jc w:val="center"/>
      <w:outlineLvl w:val="1"/>
    </w:pPr>
    <w:rPr>
      <w:sz w:val="28"/>
    </w:rPr>
  </w:style>
  <w:style w:type="paragraph" w:styleId="Heading3">
    <w:name w:val="Heading 3"/>
    <w:basedOn w:val="Normal"/>
    <w:next w:val="Normal"/>
    <w:qFormat/>
    <w:rsid w:val="000f239a"/>
    <w:pPr>
      <w:keepNext w:val="true"/>
      <w:outlineLvl w:val="2"/>
    </w:pPr>
    <w:rPr>
      <w:sz w:val="24"/>
    </w:rPr>
  </w:style>
  <w:style w:type="paragraph" w:styleId="Heading4">
    <w:name w:val="Heading 4"/>
    <w:basedOn w:val="Normal"/>
    <w:next w:val="Normal"/>
    <w:qFormat/>
    <w:rsid w:val="000f239a"/>
    <w:pPr>
      <w:keepNext w:val="true"/>
      <w:jc w:val="right"/>
      <w:outlineLvl w:val="3"/>
    </w:pPr>
    <w:rPr>
      <w:b/>
      <w:bCs/>
      <w:caps/>
      <w:sz w:val="28"/>
    </w:rPr>
  </w:style>
  <w:style w:type="paragraph" w:styleId="Heading5">
    <w:name w:val="Heading 5"/>
    <w:basedOn w:val="Normal"/>
    <w:next w:val="Normal"/>
    <w:qFormat/>
    <w:rsid w:val="000f239a"/>
    <w:pPr>
      <w:keepNext w:val="true"/>
      <w:outlineLvl w:val="4"/>
    </w:pPr>
    <w:rPr>
      <w:b/>
      <w:sz w:val="24"/>
    </w:rPr>
  </w:style>
  <w:style w:type="character" w:styleId="DefaultParagraphFont" w:default="1">
    <w:name w:val="Default Paragraph Font"/>
    <w:uiPriority w:val="1"/>
    <w:semiHidden/>
    <w:unhideWhenUsed/>
    <w:qFormat/>
    <w:rPr/>
  </w:style>
  <w:style w:type="character" w:styleId="Style9" w:customStyle="1">
    <w:name w:val="Нижний колонтитул Знак"/>
    <w:basedOn w:val="DefaultParagraphFont"/>
    <w:uiPriority w:val="99"/>
    <w:qFormat/>
    <w:rsid w:val="00b902f4"/>
    <w:rPr/>
  </w:style>
  <w:style w:type="character" w:styleId="Style10" w:customStyle="1">
    <w:name w:val="Верхний колонтитул Знак"/>
    <w:uiPriority w:val="99"/>
    <w:qFormat/>
    <w:rsid w:val="00f047bf"/>
    <w:rPr/>
  </w:style>
  <w:style w:type="character" w:styleId="Hyperlink">
    <w:name w:val="Hyperlink"/>
    <w:basedOn w:val="DefaultParagraphFont"/>
    <w:unhideWhenUsed/>
    <w:rsid w:val="002512dd"/>
    <w:rPr>
      <w:color w:val="0000FF"/>
      <w:u w:val="single"/>
    </w:rPr>
  </w:style>
  <w:style w:type="character" w:styleId="WW8Num4z0">
    <w:name w:val="WW8Num4z0"/>
    <w:qFormat/>
    <w:rPr>
      <w:b w:val="false"/>
    </w:rPr>
  </w:style>
  <w:style w:type="character" w:styleId="WW8Num2z0">
    <w:name w:val="WW8Num2z0"/>
    <w:qFormat/>
    <w:rPr/>
  </w:style>
  <w:style w:type="character" w:styleId="WW8Num3z0">
    <w:name w:val="WW8Num3z0"/>
    <w:qFormat/>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0f239a"/>
    <w:pPr>
      <w:jc w:val="both"/>
    </w:pPr>
    <w:rPr>
      <w:sz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Style13" w:customStyle="1">
    <w:name w:val="Колонтитул"/>
    <w:basedOn w:val="Normal"/>
    <w:qFormat/>
    <w:pPr/>
    <w:rPr/>
  </w:style>
  <w:style w:type="paragraph" w:styleId="Header">
    <w:name w:val="Header"/>
    <w:basedOn w:val="Normal"/>
    <w:link w:val="Style10"/>
    <w:uiPriority w:val="99"/>
    <w:rsid w:val="000f239a"/>
    <w:pPr>
      <w:tabs>
        <w:tab w:val="clear" w:pos="720"/>
        <w:tab w:val="center" w:pos="4153" w:leader="none"/>
        <w:tab w:val="right" w:pos="8306" w:leader="none"/>
      </w:tabs>
    </w:pPr>
    <w:rPr/>
  </w:style>
  <w:style w:type="paragraph" w:styleId="Footer">
    <w:name w:val="Footer"/>
    <w:basedOn w:val="Normal"/>
    <w:link w:val="Style9"/>
    <w:uiPriority w:val="99"/>
    <w:rsid w:val="000f239a"/>
    <w:pPr>
      <w:tabs>
        <w:tab w:val="clear" w:pos="720"/>
        <w:tab w:val="center" w:pos="4153" w:leader="none"/>
        <w:tab w:val="right" w:pos="8306" w:leader="none"/>
      </w:tabs>
    </w:pPr>
    <w:rPr/>
  </w:style>
  <w:style w:type="paragraph" w:styleId="1" w:customStyle="1">
    <w:name w:val="Обычный1"/>
    <w:qFormat/>
    <w:rsid w:val="000f239a"/>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rsid w:val="000f239a"/>
    <w:pPr>
      <w:ind w:firstLine="720"/>
      <w:jc w:val="both"/>
    </w:pPr>
    <w:rPr>
      <w:sz w:val="28"/>
    </w:rPr>
  </w:style>
  <w:style w:type="paragraph" w:styleId="ConsTitle" w:customStyle="1">
    <w:name w:val="ConsTitle"/>
    <w:qFormat/>
    <w:rsid w:val="000f239a"/>
    <w:pPr>
      <w:widowControl w:val="false"/>
      <w:suppressAutoHyphens w:val="true"/>
      <w:bidi w:val="0"/>
      <w:spacing w:before="0" w:after="0"/>
      <w:ind w:right="19772"/>
      <w:jc w:val="left"/>
    </w:pPr>
    <w:rPr>
      <w:rFonts w:ascii="Arial" w:hAnsi="Arial" w:cs="Arial" w:eastAsia="Times New Roman"/>
      <w:b/>
      <w:bCs/>
      <w:color w:val="auto"/>
      <w:kern w:val="0"/>
      <w:sz w:val="16"/>
      <w:szCs w:val="16"/>
      <w:lang w:val="ru-RU" w:eastAsia="ru-RU" w:bidi="ar-SA"/>
    </w:rPr>
  </w:style>
  <w:style w:type="paragraph" w:styleId="BodyTextIndent2">
    <w:name w:val="Body Text Indent 2"/>
    <w:basedOn w:val="Normal"/>
    <w:qFormat/>
    <w:rsid w:val="000f239a"/>
    <w:pPr>
      <w:ind w:firstLine="709"/>
      <w:jc w:val="both"/>
    </w:pPr>
    <w:rPr>
      <w:sz w:val="28"/>
    </w:rPr>
  </w:style>
  <w:style w:type="paragraph" w:styleId="11" w:customStyle="1">
    <w:name w:val="Название1"/>
    <w:basedOn w:val="Normal"/>
    <w:qFormat/>
    <w:rsid w:val="000f239a"/>
    <w:pPr>
      <w:jc w:val="center"/>
    </w:pPr>
    <w:rPr>
      <w:sz w:val="28"/>
    </w:rPr>
  </w:style>
  <w:style w:type="paragraph" w:styleId="BodyText2">
    <w:name w:val="Body Text 2"/>
    <w:basedOn w:val="Normal"/>
    <w:qFormat/>
    <w:rsid w:val="000f239a"/>
    <w:pPr/>
    <w:rPr>
      <w:sz w:val="28"/>
    </w:rPr>
  </w:style>
  <w:style w:type="paragraph" w:styleId="ConsPlusNormal" w:customStyle="1">
    <w:name w:val="ConsPlusNormal"/>
    <w:qFormat/>
    <w:rsid w:val="000f239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alloonText">
    <w:name w:val="Balloon Text"/>
    <w:basedOn w:val="Normal"/>
    <w:semiHidden/>
    <w:qFormat/>
    <w:rsid w:val="000f239a"/>
    <w:pPr/>
    <w:rPr>
      <w:rFonts w:ascii="Tahoma" w:hAnsi="Tahoma" w:cs="Tahoma"/>
      <w:sz w:val="16"/>
      <w:szCs w:val="16"/>
    </w:rPr>
  </w:style>
  <w:style w:type="paragraph" w:styleId="ConsPlusTitle" w:customStyle="1">
    <w:name w:val="ConsPlusTitle"/>
    <w:uiPriority w:val="99"/>
    <w:qFormat/>
    <w:rsid w:val="00954abb"/>
    <w:pPr>
      <w:widowControl w:val="false"/>
      <w:suppressAutoHyphens w:val="true"/>
      <w:bidi w:val="0"/>
      <w:spacing w:before="0" w:after="0"/>
      <w:jc w:val="left"/>
    </w:pPr>
    <w:rPr>
      <w:rFonts w:ascii="Arial" w:hAnsi="Arial" w:cs="Arial" w:eastAsia="Times New Roman"/>
      <w:b/>
      <w:bCs/>
      <w:color w:val="auto"/>
      <w:kern w:val="0"/>
      <w:sz w:val="20"/>
      <w:szCs w:val="20"/>
      <w:lang w:val="ru-RU" w:eastAsia="ru-RU" w:bidi="ar-SA"/>
    </w:rPr>
  </w:style>
  <w:style w:type="paragraph" w:styleId="12">
    <w:name w:val="Заголовок1"/>
    <w:basedOn w:val="Normal"/>
    <w:next w:val="BodyText"/>
    <w:qFormat/>
    <w:pPr>
      <w:jc w:val="center"/>
    </w:pPr>
    <w:rPr>
      <w:sz w:val="28"/>
    </w:rPr>
  </w:style>
  <w:style w:type="numbering" w:styleId="NoList" w:default="1">
    <w:name w:val="No List"/>
    <w:uiPriority w:val="99"/>
    <w:semiHidden/>
    <w:unhideWhenUsed/>
    <w:qFormat/>
  </w:style>
  <w:style w:type="numbering" w:styleId="WW8Num4">
    <w:name w:val="WW8Num4"/>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ya.Mikryukova@tatar.ru" TargetMode="External"/><Relationship Id="rId3" Type="http://schemas.openxmlformats.org/officeDocument/2006/relationships/hyperlink" Target="mailto:Sergey.Halilov@tatar.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E446-F862-4B1C-B3F6-F689DBEF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Application>LibreOffice/7.6.7.2$Linux_X86_64 LibreOffice_project/60$Build-2</Application>
  <AppVersion>15.0000</AppVersion>
  <Pages>15</Pages>
  <Words>3349</Words>
  <Characters>26277</Characters>
  <CharactersWithSpaces>29565</CharactersWithSpaces>
  <Paragraphs>373</Paragraphs>
  <Company>ане</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2023-02-06T13:44:00Z</dcterms:created>
  <dc:creator>Филипов</dc:creator>
  <dc:description/>
  <dc:language>ru-RU</dc:language>
  <cp:lastModifiedBy/>
  <cp:lastPrinted>2025-10-13T15:34:55Z</cp:lastPrinted>
  <dcterms:modified xsi:type="dcterms:W3CDTF">2025-10-13T15:54:53Z</dcterms:modified>
  <cp:revision>24</cp:revision>
  <dc:subject/>
  <dc:title>Проект</dc:title>
</cp:coreProperties>
</file>

<file path=docProps/custom.xml><?xml version="1.0" encoding="utf-8"?>
<Properties xmlns="http://schemas.openxmlformats.org/officeDocument/2006/custom-properties" xmlns:vt="http://schemas.openxmlformats.org/officeDocument/2006/docPropsVTypes"/>
</file>