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szCs w:val="28"/>
        </w:rPr>
        <w:t>Проект постановления</w:t>
      </w:r>
    </w:p>
    <w:p>
      <w:pPr>
        <w:pStyle w:val="Normal"/>
        <w:rPr/>
      </w:pPr>
      <w:r>
        <w:rPr/>
        <w:t xml:space="preserve">О муниципальной программе </w:t>
      </w:r>
    </w:p>
    <w:p>
      <w:pPr>
        <w:pStyle w:val="Normal"/>
        <w:rPr/>
      </w:pPr>
      <w:r>
        <w:rPr/>
        <w:t xml:space="preserve">«Укрепление общественного здоровья среди населения </w:t>
      </w:r>
    </w:p>
    <w:p>
      <w:pPr>
        <w:pStyle w:val="Normal"/>
        <w:rPr/>
      </w:pPr>
      <w:r>
        <w:rPr/>
        <w:t xml:space="preserve">муниципального образования </w:t>
      </w:r>
    </w:p>
    <w:p>
      <w:pPr>
        <w:pStyle w:val="Normal"/>
        <w:rPr>
          <w:szCs w:val="28"/>
        </w:rPr>
      </w:pPr>
      <w:r>
        <w:rPr/>
        <w:t>город Набережные Челны на 2026-2030 годы»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Default"/>
        <w:ind w:left="0" w:right="0" w:firstLine="709"/>
        <w:jc w:val="both"/>
        <w:rPr/>
      </w:pPr>
      <w:r>
        <w:rPr/>
        <w:t>В целях достижения высокого уровня здоровья настоящих и будущих поколений жителей города Набережные Челны,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 в городе Набережные Челны, в соответствии со статьёй 53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Default"/>
        <w:ind w:left="0" w:right="0" w:firstLine="709"/>
        <w:rPr/>
      </w:pPr>
      <w:r>
        <w:rPr/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 О С Т А Н О В Л Я Ю: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firstLine="709"/>
        <w:jc w:val="both"/>
        <w:rPr>
          <w:szCs w:val="26"/>
        </w:rPr>
      </w:pPr>
      <w:r>
        <w:rPr>
          <w:szCs w:val="28"/>
        </w:rPr>
        <w:t xml:space="preserve">1. Утвердить муниципальную программу </w:t>
      </w:r>
      <w:r>
        <w:rPr/>
        <w:t>«Укрепление общественного здоровья среди населения муниципального образования город Набережные Челны на 2026-2030 годы»</w:t>
      </w:r>
      <w:r>
        <w:rPr>
          <w:szCs w:val="28"/>
        </w:rPr>
        <w:t xml:space="preserve"> согласно приложению.</w:t>
      </w:r>
    </w:p>
    <w:p>
      <w:pPr>
        <w:pStyle w:val="Normal"/>
        <w:ind w:left="0" w:right="0" w:firstLine="709"/>
        <w:jc w:val="both"/>
        <w:rPr>
          <w:szCs w:val="28"/>
        </w:rPr>
      </w:pPr>
      <w:r>
        <w:rPr>
          <w:szCs w:val="26"/>
        </w:rPr>
        <w:t xml:space="preserve">2. Управлению делопроизводством Исполнительного комитета обеспечить </w:t>
      </w:r>
      <w:r>
        <w:rPr>
          <w:szCs w:val="26"/>
        </w:rPr>
        <w:t xml:space="preserve">официальное </w:t>
      </w:r>
      <w:r>
        <w:rPr>
          <w:szCs w:val="26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szCs w:val="26"/>
          <w:lang w:val="en-US"/>
        </w:rPr>
        <w:t>pravo</w:t>
      </w:r>
      <w:r>
        <w:rPr>
          <w:szCs w:val="26"/>
        </w:rPr>
        <w:t>.</w:t>
      </w:r>
      <w:r>
        <w:rPr>
          <w:szCs w:val="26"/>
          <w:lang w:val="en-US"/>
        </w:rPr>
        <w:t>tatarstan</w:t>
      </w:r>
      <w:r>
        <w:rPr>
          <w:szCs w:val="26"/>
        </w:rPr>
        <w:t>.</w:t>
      </w:r>
      <w:r>
        <w:rPr>
          <w:szCs w:val="26"/>
          <w:lang w:val="en-US"/>
        </w:rPr>
        <w:t>ru</w:t>
      </w:r>
      <w:r>
        <w:rPr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ind w:left="0" w:right="0"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Normal"/>
        <w:ind w:left="72" w:right="0" w:firstLine="69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Руководитель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Исполнительного комитета </w:t>
        <w:tab/>
        <w:tab/>
        <w:tab/>
        <w:tab/>
        <w:tab/>
        <w:t xml:space="preserve"> </w:t>
        <w:tab/>
        <w:tab/>
        <w:t xml:space="preserve">           Ф.Ш. Салахов</w:t>
      </w:r>
    </w:p>
    <w:p>
      <w:pPr>
        <w:pStyle w:val="Normal"/>
        <w:ind w:left="0" w:right="-284" w:firstLine="6300"/>
        <w:rPr>
          <w:szCs w:val="28"/>
        </w:rPr>
      </w:pPr>
      <w:r>
        <w:rPr>
          <w:szCs w:val="28"/>
        </w:rPr>
      </w:r>
    </w:p>
    <w:p>
      <w:pPr>
        <w:pStyle w:val="Normal"/>
        <w:ind w:left="0" w:right="-284" w:firstLine="6300"/>
        <w:rPr>
          <w:szCs w:val="28"/>
        </w:rPr>
      </w:pPr>
      <w:r>
        <w:rPr>
          <w:szCs w:val="28"/>
        </w:rPr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0" w:right="-284" w:firstLine="6804"/>
        <w:rPr/>
      </w:pPr>
      <w:r>
        <w:rPr/>
      </w:r>
    </w:p>
    <w:p>
      <w:pPr>
        <w:pStyle w:val="Normal"/>
        <w:ind w:left="5670" w:righ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0" w:righ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0" w:right="-284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left="5670" w:right="-284" w:hanging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>
      <w:pPr>
        <w:pStyle w:val="Normal"/>
        <w:ind w:left="5670" w:right="-284" w:hanging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5670" w:right="0" w:hanging="0"/>
        <w:jc w:val="both"/>
        <w:rPr>
          <w:sz w:val="22"/>
          <w:szCs w:val="22"/>
        </w:rPr>
      </w:pPr>
      <w:r>
        <w:rPr>
          <w:sz w:val="28"/>
          <w:szCs w:val="28"/>
        </w:rPr>
        <w:t>от «__» ______ 20__   № _____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«Укрепление общественного здоровья среди населения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города Набережные Челны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2026-2030 годы»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b w:val="false"/>
          <w:bCs w:val="false"/>
        </w:rPr>
      </w:pPr>
      <w:r>
        <w:rPr>
          <w:sz w:val="28"/>
          <w:szCs w:val="28"/>
        </w:rPr>
        <w:t>Глава 1. Паспорт</w:t>
      </w:r>
    </w:p>
    <w:p>
      <w:pPr>
        <w:pStyle w:val="4"/>
        <w:spacing w:before="0" w:after="0"/>
        <w:jc w:val="center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муниципальной программы </w:t>
      </w:r>
      <w:r>
        <w:rPr>
          <w:rFonts w:cs="Times New Roman" w:ascii="Times New Roman" w:hAnsi="Times New Roman"/>
          <w:b w:val="false"/>
        </w:rPr>
        <w:t>«Укрепление общественного здоровья среди населения муниципального образования город</w:t>
      </w:r>
      <w:r>
        <w:rPr>
          <w:rFonts w:cs="Times New Roman" w:ascii="Times New Roman" w:hAnsi="Times New Roman"/>
          <w:b w:val="false"/>
          <w:lang w:val="ru-RU"/>
        </w:rPr>
        <w:t xml:space="preserve"> </w:t>
      </w:r>
      <w:r>
        <w:rPr>
          <w:rFonts w:cs="Times New Roman" w:ascii="Times New Roman" w:hAnsi="Times New Roman"/>
          <w:b w:val="false"/>
        </w:rPr>
        <w:t xml:space="preserve">Набережные Челны </w:t>
      </w:r>
    </w:p>
    <w:p>
      <w:pPr>
        <w:pStyle w:val="4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 w:val="false"/>
        </w:rPr>
        <w:t>на 2026-2030 годы»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10250" w:type="dxa"/>
        <w:jc w:val="left"/>
        <w:tblInd w:w="-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83"/>
        <w:gridCol w:w="1874"/>
        <w:gridCol w:w="852"/>
        <w:gridCol w:w="912"/>
        <w:gridCol w:w="960"/>
        <w:gridCol w:w="961"/>
        <w:gridCol w:w="912"/>
        <w:gridCol w:w="1294"/>
      </w:tblGrid>
      <w:tr>
        <w:trPr>
          <w:trHeight w:val="760" w:hRule="atLeast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4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1" w:lastColumn="0" w:firstColumn="1" w:val="04a0" w:noHBand="0" w:noVBand="1"/>
            </w:tblPr>
            <w:tblGrid>
              <w:gridCol w:w="7411"/>
            </w:tblGrid>
            <w:tr>
              <w:trPr>
                <w:trHeight w:val="827" w:hRule="atLeast"/>
              </w:trPr>
              <w:tc>
                <w:tcPr>
                  <w:tcW w:w="7411" w:type="dxa"/>
                  <w:tcBorders/>
                </w:tcPr>
                <w:p>
                  <w:pPr>
                    <w:pStyle w:val="Default"/>
                    <w:widowControl w:val="false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Муниципальная программа «Укрепление общественного здоровья среди населения муниципального образования город Набережные Челны на 2026-2030 годы» (далее – программа)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60" w:hRule="atLeast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rPr/>
            </w:pPr>
            <w:r>
              <w:rPr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-"/>
                <w:color w:val="000000"/>
                <w:sz w:val="28"/>
                <w:szCs w:val="28"/>
                <w:u w:val="none"/>
              </w:rPr>
              <w:t>Конституция</w:t>
            </w:r>
            <w:r>
              <w:rPr>
                <w:color w:val="000000"/>
                <w:sz w:val="28"/>
                <w:szCs w:val="28"/>
                <w:u w:val="none"/>
              </w:rPr>
              <w:t xml:space="preserve">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Федеральный закон от 21.11.2011 № 323-ФЗ «Об основах охраны здоровья граждан в Российской Федерации», </w:t>
            </w:r>
            <w:r>
              <w:rPr>
                <w:rStyle w:val="-"/>
                <w:color w:val="000000"/>
                <w:sz w:val="28"/>
                <w:szCs w:val="28"/>
                <w:u w:val="none"/>
              </w:rPr>
              <w:t>Стратегия</w:t>
            </w:r>
            <w:r>
              <w:rPr>
                <w:color w:val="000000"/>
                <w:sz w:val="28"/>
                <w:szCs w:val="28"/>
                <w:u w:val="none"/>
              </w:rPr>
              <w:t xml:space="preserve"> национальной безопасности Российской Федерации, утвержденная Указом Президента Российской Федерации от 02.07.2021 № 400</w:t>
            </w:r>
          </w:p>
        </w:tc>
      </w:tr>
      <w:tr>
        <w:trPr/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1" w:right="0" w:hanging="0"/>
              <w:rPr/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4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411"/>
            </w:tblGrid>
            <w:tr>
              <w:trPr>
                <w:trHeight w:val="515" w:hRule="atLeast"/>
              </w:trPr>
              <w:tc>
                <w:tcPr>
                  <w:tcW w:w="7411" w:type="dxa"/>
                  <w:tcBorders/>
                </w:tcPr>
                <w:p>
                  <w:pPr>
                    <w:pStyle w:val="Default"/>
                    <w:widowControl w:val="false"/>
                    <w:ind w:left="-31" w:right="-108" w:hanging="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Управление физической культуры и спорта Исполнительного комитета, управление образования Исполнительного комитета, управление по делам молодежи Исполнительного комитета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both"/>
              <w:rPr/>
            </w:pPr>
            <w:r>
              <w:rPr>
                <w:sz w:val="28"/>
                <w:szCs w:val="28"/>
              </w:rPr>
              <w:t>Управление физической культуры и спорта Исполнительного комитета, управление образования Исполнительного комитета, управление по делам молодежи Исполнительного комитета, управление культуры Исполнительного комитета, управление экономического развития и поддержки предпринимательства Исполнительного комитета, администрации районов Исполнительного комитета, управление информационной политики и по связям с общественностью Исполнительного комитета</w:t>
            </w:r>
          </w:p>
        </w:tc>
      </w:tr>
      <w:tr>
        <w:trPr/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Улучшение здоровья населения, качества жизни, формирование культуры общественного здоровья, ответственного отношения к здоровью</w:t>
            </w:r>
          </w:p>
        </w:tc>
      </w:tr>
      <w:tr>
        <w:trPr/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Повышение осведомлённости населения о здоровом образе жизни (информационные кампании, направленные на популяризацию здорового образа жизни, включая правильное питание, отказ от вредных привычек и регулярную физическую активность).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Профилактика заболеваний (прежде всего хронических неинфекционных заболеваний, в том числе сердечно-сосудистых, органов дыхания, онкологических, сахарного диабета).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Увеличение физической активности (создание условий для занятий спортом и физической культурой, организация спортивных мероприятий, пропаганда активного образа жизни).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Доступность профилактической медицинской помощи (профилактических медицинских осмотров, диспансеризации, вакцинации и других видов медицинской помощи).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 xml:space="preserve">5. Снижение факторов риска, </w:t>
            </w:r>
            <w:r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табакокурения, употребления алкоголя и наркотических средств, </w:t>
            </w:r>
            <w:r>
              <w:rPr>
                <w:sz w:val="28"/>
                <w:szCs w:val="28"/>
              </w:rPr>
              <w:t xml:space="preserve">неправильного питания, недостаточной физической активности </w:t>
            </w:r>
          </w:p>
        </w:tc>
      </w:tr>
      <w:tr>
        <w:trPr>
          <w:trHeight w:val="579" w:hRule="atLeast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2026 – 2030 годы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both"/>
              <w:rPr/>
            </w:pPr>
            <w:r>
              <w:rPr/>
              <w:t>Источники финансирования (тыс. руб.)</w:t>
            </w:r>
          </w:p>
        </w:tc>
        <w:tc>
          <w:tcPr>
            <w:tcW w:w="5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center"/>
              <w:rPr/>
            </w:pPr>
            <w:r>
              <w:rPr/>
              <w:t>Годы реализации Программы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2026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2027 год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2028 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2029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2030 год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за период реализации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both"/>
              <w:rPr/>
            </w:pPr>
            <w:r>
              <w:rPr/>
              <w:t>Муниципальный бюджет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both"/>
              <w:rPr/>
            </w:pPr>
            <w:r>
              <w:rPr/>
              <w:t>Федеральный бюджет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ind w:left="0" w:right="-108" w:hanging="0"/>
              <w:jc w:val="both"/>
              <w:rPr/>
            </w:pPr>
            <w:r>
              <w:rPr/>
              <w:t>Республиканский бюджет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9"/>
              <w:jc w:val="both"/>
              <w:rPr/>
            </w:pPr>
            <w:r>
              <w:rPr/>
              <w:t>Всего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</w:tr>
      <w:tr>
        <w:trPr>
          <w:trHeight w:val="83" w:hRule="atLeast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1. Увеличение продолжительности жизни населения;</w:t>
            </w:r>
          </w:p>
          <w:p>
            <w:pPr>
              <w:pStyle w:val="Default"/>
              <w:widowControl w:val="false"/>
              <w:jc w:val="both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2. Увеличение охвата населения диспансеризацией;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>
                <w:rStyle w:val="FontStyle20"/>
                <w:sz w:val="28"/>
                <w:szCs w:val="28"/>
              </w:rPr>
              <w:t>3. Увеличение доли граждан, систематически занимающихся физической культурой и спортом, в общей численности населения в возрасте от 3-х лет и старше</w:t>
            </w:r>
          </w:p>
        </w:tc>
      </w:tr>
      <w:tr>
        <w:trPr>
          <w:cantSplit w:val="true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Система организации контроля за реализацией программы</w:t>
            </w:r>
          </w:p>
        </w:tc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both"/>
              <w:rPr/>
            </w:pPr>
            <w:r>
              <w:rPr>
                <w:sz w:val="28"/>
                <w:szCs w:val="28"/>
              </w:rPr>
              <w:t>Контроль за исполнением программы осуществляет  управление физической культуры и спорта Исполнительного комитета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Глава 2. Содержание проблемы и обоснование необходимости ее решения программным методом</w:t>
      </w:r>
    </w:p>
    <w:p>
      <w:pPr>
        <w:pStyle w:val="Defaul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в рамках региональных мероприятий федерального проекта «Здоровье для каждого» национального проекта «Продолжительная и активная жизнь» с целью повышения уровня здоровья жителей муниципального образования город Набережные Челны Республики Татарстан, в том числе формирования ответственного отношения к своему здоровью, создание условий для ведения здорового образа жизни, сохранения и развития человеческого потенциала.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успешной реализации муниципальной программы положены следующие принципы: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программные мероприятия должны быть доступны для всех жителей вне зависимости от социального статуса, уровня доходов и места жительства;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- программные мероприятия должны охватывать все возрастные и социальные группы населения: детей, молодёжь, население трудоспособного возраста</w:t>
      </w:r>
      <w:r>
        <w:rPr>
          <w:sz w:val="28"/>
          <w:szCs w:val="28"/>
          <w:shd w:fill="auto" w:val="clear"/>
        </w:rPr>
        <w:t>, граждан пожилого возраста.</w:t>
      </w:r>
    </w:p>
    <w:p>
      <w:pPr>
        <w:pStyle w:val="Normal"/>
        <w:ind w:left="0" w:right="0"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Актуальность программы очевидна, потому что по разным источникам до 60% всех влияний на здоровье человека, на продолжительность его жизни – это его образ жизни. Состояние здоровья - это важный показатель социального, экономического и экологического благополучия, показатель качества жизни населения города Набережные Челны.</w:t>
      </w:r>
    </w:p>
    <w:p>
      <w:pPr>
        <w:pStyle w:val="Style31"/>
        <w:ind w:left="0" w:right="0" w:firstLine="709"/>
        <w:jc w:val="both"/>
        <w:rPr>
          <w:highlight w:val="none"/>
          <w:shd w:fill="auto" w:val="clear"/>
        </w:rPr>
      </w:pPr>
      <w:r>
        <w:rPr>
          <w:i w:val="false"/>
          <w:iCs w:val="false"/>
          <w:sz w:val="28"/>
          <w:szCs w:val="28"/>
          <w:shd w:fill="auto" w:val="clear"/>
        </w:rPr>
        <w:t xml:space="preserve">На начало 2024 года численность постоянного населения города составило 544 383 человека, что на 0,25% ниже численности 2023 года (2023 год - 545 750, 2022 год - 528 366, 2021 год - 532 074, 2020 год - 533 839 ). </w:t>
      </w:r>
    </w:p>
    <w:p>
      <w:pPr>
        <w:pStyle w:val="Normal"/>
        <w:ind w:left="0" w:right="0" w:firstLine="709"/>
        <w:jc w:val="both"/>
        <w:rPr>
          <w:highlight w:val="none"/>
          <w:shd w:fill="auto" w:val="clear"/>
        </w:rPr>
      </w:pPr>
      <w:r>
        <w:rPr>
          <w:i w:val="false"/>
          <w:iCs w:val="false"/>
          <w:sz w:val="28"/>
          <w:szCs w:val="28"/>
          <w:shd w:fill="auto" w:val="clear"/>
        </w:rPr>
        <w:t xml:space="preserve">За последние пять лет ожидаемая продолжительность жизни челнинцев увеличилась на 2,25 лет (2019 год - 75,9; 2020 год – 72,85; 2021 год – 71,5; 2022 год – 77,73; 2023 год – 78,15), и по итогам 2023 года составила 78,15 лет. 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 итогам 2024 года отмечается естественная убыль населения города Набережные Челны минус 0,7 на 1 000 населения. В 2023 году минус 0,2, в 2022 году плюс 0,1.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2024 году показатель смертности населения по городу Набережные Челны на 19,5% ниже, чем по Республике Татарстан (2024 год – 11,3%) и составил 9,1 на 1 000 населения (2023 год – 8,9%, 2022 год – 9,2%).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Первичная заболеваемость среди всего населения в 2024 году снижается и составляет 821,3, в сравнении с 2023 годом 892,1 на 1000 населения. 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Распространенность болезней среди населения города в 2024 году  составила 1 855,6, по сравнению с 2023 годом снизилась на 3,58% (1 957,7). 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Заболеваемость по отдельно социально-значимым группам болезней, на 100 000 населения в 2024 году составила: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злокачественные новообразования  – 506,4, отмечается рост в сравнении с 2023 годом на 7%. За последние 3 года рост на 15%;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туберкулез  – 17,2, за 3 года снижение на 16.8%;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наркологические болезни (в том числе профилактическое наблюдение)  –333,7, отмечается общее снижение распространенности за 3 года на 10,1%.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алкогольными психозами, снизилась на 11,2 % (2022 год – 49,8, 2023 год – 58,1, 2024 год – 58,0 больных).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По оценкам экспертов Всемирной организации здравоохранения, превышения допустимого уровня потребления алкогольной продукции (из числа 8 литров абсолютного алкоголя (безводного спирта) в год на душу населения) является крайне опасным для здоровья нации и потребление сверх данного предела каждого литра отнимает 11 месяцев жизни. Алкоголь оказывает негативное влияние на все живые клетки, особенно на клетки коры головного мозга. 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Профилактическая работа по предотвращению распространения алкоголизма в 2021-2025 годах проводилась в рамках реализации «Долгосрочной целевой программы профилактики наркотизации населения в Республике Татарстан на 2021-2025 годы», одной из основных задач которой является создание единой государственной системы ранней профилактики наркологических заболеваний и на этой основе формирование здорового образа жизни.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Профилактическая работа с населением проводилась через средства массовой информации.</w:t>
      </w:r>
    </w:p>
    <w:p>
      <w:pPr>
        <w:pStyle w:val="Normal"/>
        <w:ind w:right="0" w:firstLine="85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Проведено 34 консультации по вопросам организации профилактики наркологических заболеваний: педагогам, психологам, заместителям директоров школ по воспитательной работе и по здоровью; лицам, ответственным за организацию профилактических осмотров в образовательных учреждениях города.</w:t>
      </w:r>
    </w:p>
    <w:p>
      <w:pPr>
        <w:pStyle w:val="Style31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 xml:space="preserve">По результатам диспансеризации и профилактических осмотров населения города Набережные Челны в 2024 году всего выявлено 136135 факторов риска, повышающих вероятность развития хронических заболеваний (нерациональное питание – 32,2%, низкая физическая активность – 28,8%, избыточная масса тела и ожирение – 14,3%), зарегистрировано 220811 хронических неинфекционных заболеваний (болезни системы кровообращения - 45,3%, болезни органов пищеварения – 4,3%, сахарный диабет – 3,7%), </w:t>
      </w:r>
      <w:r>
        <w:rPr>
          <w:sz w:val="28"/>
          <w:szCs w:val="28"/>
          <w:shd w:fill="auto" w:val="clear"/>
          <w:lang w:eastAsia="ru-RU"/>
        </w:rPr>
        <w:t>из них впервые выявлено 11755 заболеваний (болезни системы кровообращения – 20,8%, болезни органов пищеварения – 16,2%</w:t>
      </w:r>
      <w:r>
        <w:rPr>
          <w:sz w:val="28"/>
          <w:szCs w:val="28"/>
          <w:shd w:fill="auto" w:val="clear"/>
        </w:rPr>
        <w:t xml:space="preserve">, болезни глаза – 13,0%) </w:t>
      </w:r>
    </w:p>
    <w:p>
      <w:pPr>
        <w:pStyle w:val="Normal"/>
        <w:ind w:left="0" w:right="0" w:firstLine="72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Приведенные данные говорят о наличии большого количества хронических неинфекционных заболеваний у граждан, в том числе впервые выявленных при диспансеризации, широкое распространение факторов риска их развития, а также низкий уровень знаний у населения о необходимости и методах коррекции факторов рисков свидетельствуют о важности и необходимости укрепления здоровья.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Высокий уровень смертности от неинфекционных заболеваний приводит к большим экономическим потерям, обусловленным как прямыми затратами на оказание медицинской помощи, в том числе высокотехнологичной, так и к экономическим потерям вследствие сокращения трудовых ресурсов из-за преждевременной смертности, инвалидности и временной нетрудоспособности.</w:t>
      </w:r>
    </w:p>
    <w:p>
      <w:pPr>
        <w:pStyle w:val="Normal"/>
        <w:ind w:left="0" w:right="0" w:firstLine="709"/>
        <w:jc w:val="both"/>
        <w:rPr>
          <w:i w:val="false"/>
          <w:i w:val="false"/>
          <w:iCs w:val="false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Основой профилактики и контроля неинфекционных заболеваний является здоровый образ жизни. Здоровый образ жизни - это образ жизни человека, направленный на предупреждение возникновения и развития неинфекционных заболеваний и характеризующийся исключением или сокращением действия поведенческих факторов риска, к числу которых относятся нерациональное питание</w:t>
      </w:r>
      <w:r>
        <w:rPr>
          <w:i w:val="false"/>
          <w:iCs w:val="false"/>
          <w:sz w:val="28"/>
          <w:szCs w:val="28"/>
          <w:shd w:fill="auto" w:val="clear"/>
        </w:rPr>
        <w:t>, отсутствие физической активности, а также неадаптивное преодоление стрессов.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Доминирующими факторами риска, влияющими на возникновение многих неинфекционных заболеваний, занимающих лидирующее место в структуре выявленных заболеваний, являются гиподинамия, нерациональное питание, психическое перенапряжение, стрессы, вредные привычки, избыточная масса тела.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 xml:space="preserve">В настоящее время не вызывает сомнения, что патологическое увеличение объема жировой ткани в организме (ожирение) выходит далеко за рамки сугубо эстетической проблемы и является причиной развития целого ряда тяжелых, зачастую – необратимых и приводящих к смерти, заболеваний. </w:t>
      </w:r>
    </w:p>
    <w:p>
      <w:pPr>
        <w:pStyle w:val="Style33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 xml:space="preserve">В настоящее время показатель распространенности ожирения среди жителей города Набережные Челны составляет 24,7 на 1 000 населения. </w:t>
      </w:r>
    </w:p>
    <w:p>
      <w:pPr>
        <w:pStyle w:val="Style33"/>
        <w:shd w:val="clear" w:color="auto" w:fill="FFFFFF"/>
        <w:spacing w:before="0" w:after="0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По данным разных источников в настоящее время в России 95% страдающих ожирением людей умирает от причин, непосредственно связанных с избыточной массой тела. Продолжительность жизни больных ожирением сокращается на 10-20 лет (в зависимости от возраста развития ожирения).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Повысить уровень здоровья, живущего и будущих поколений населения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Все это диктует необходимость комплексного подхода: объединения различных ведомств, организаций всех форм собственности, гражданского общества, чья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населения.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 xml:space="preserve">Так, ведение жителями города Набережные Челны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Здоровый образ жизни населения, высокие показатели в области здравоохранения приведут к достижению целевого показателя национального проекта «Демография» - </w:t>
      </w:r>
      <w:r>
        <w:rPr>
          <w:bCs/>
          <w:sz w:val="28"/>
          <w:szCs w:val="28"/>
          <w:shd w:fill="auto" w:val="clear"/>
        </w:rPr>
        <w:t>увеличение ожидаемой продолжительности здоровой жизни до 67 лет,</w:t>
      </w:r>
      <w:r>
        <w:rPr>
          <w:sz w:val="28"/>
          <w:szCs w:val="28"/>
          <w:shd w:fill="auto" w:val="clear"/>
        </w:rPr>
        <w:t xml:space="preserve"> снижению выездной миграции и увеличению рождаемости, что положительно скажется на общей демографической обстановке в городе Набережные Челны.</w:t>
      </w:r>
    </w:p>
    <w:p>
      <w:pPr>
        <w:pStyle w:val="Normal"/>
        <w:ind w:left="0" w:right="0" w:firstLine="708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Глава 3. Основные цели и задачи программы</w:t>
      </w:r>
    </w:p>
    <w:p>
      <w:pPr>
        <w:pStyle w:val="Default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Реализация программы рассчитана на пять лет – 2026-2030 годы.</w:t>
      </w:r>
    </w:p>
    <w:p>
      <w:pPr>
        <w:pStyle w:val="Normal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Целью муниципальной программы является улучшение здоровья населения, качества жизни, формирование культуры общественного здоровья, ответственного отношения к здоровью.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fill="auto" w:val="clear"/>
        </w:rPr>
        <w:t>Задачами программы являются: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осведомлённости населения о здоровом образе жизни (информационные кампании, направленные на популяризацию здорового образа жизни, включая правильное питание, отказ от вредных привычек и регулярную физическую активность);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профилактика заболеваний (прежде всего хронических неинфекционных заболеваний, в том числе сердечно-сосудистых, органов дыхания, онкологических, сахарного диабета);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физической активности (создание условий для занятий спортом и физической культурой, организация спортивных мероприятий, зон отдыха, пропаганда активного образа жизни);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доступность профилактической медицинской помощи (профилактических медицинских осмотров, диспансеризации, вакцинации и других видов медицинской помощи);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факторов риска, в том числе табакокурения, употребления алкоголя и наркотических средств, неправильного питания, недостаточной физической активности.</w:t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Normal"/>
        <w:widowControl/>
        <w:ind w:left="0" w:right="0" w:hanging="0"/>
        <w:jc w:val="center"/>
        <w:rPr>
          <w:rFonts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>Глава 4. Индикаторы, позволяющие определить результативность реализации программы</w:t>
      </w:r>
    </w:p>
    <w:p>
      <w:pPr>
        <w:pStyle w:val="Style41"/>
        <w:widowControl/>
        <w:spacing w:lineRule="exact" w:line="240"/>
        <w:ind w:left="787" w:right="0" w:firstLine="65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val="clear" w:color="auto" w:fill="FFFFFF"/>
        <w:ind w:left="0" w:right="0" w:firstLine="708"/>
        <w:jc w:val="both"/>
        <w:rPr/>
      </w:pPr>
      <w:r>
        <w:rPr>
          <w:sz w:val="28"/>
          <w:szCs w:val="28"/>
        </w:rPr>
        <w:t>Эффективность решения поставленных задач посредством реализации программных мероприятий оценивается ежегодно посредством мониторинга, достижения значений установленных показателей эффективности программы</w:t>
      </w:r>
      <w:r>
        <w:rPr>
          <w:rStyle w:val="FontStyle11"/>
          <w:sz w:val="28"/>
          <w:szCs w:val="28"/>
        </w:rPr>
        <w:t>:</w:t>
      </w:r>
    </w:p>
    <w:p>
      <w:pPr>
        <w:pStyle w:val="Style110"/>
        <w:widowControl/>
        <w:spacing w:lineRule="exact" w:line="302"/>
        <w:jc w:val="center"/>
        <w:rPr/>
      </w:pPr>
      <w:r>
        <w:rPr/>
      </w:r>
    </w:p>
    <w:tbl>
      <w:tblPr>
        <w:tblW w:w="1013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4"/>
        <w:gridCol w:w="3275"/>
        <w:gridCol w:w="2900"/>
        <w:gridCol w:w="3218"/>
      </w:tblGrid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-30" w:right="0" w:hanging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</w:t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/>
            </w:pPr>
            <w:r>
              <w:rPr>
                <w:b w:val="false"/>
                <w:bCs w:val="false"/>
              </w:rPr>
              <w:t>Увеличение количества организованных информационно – коммуникационных компаний, направленных на мотивацию граждан к здоровому образу жизни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360"/>
              <w:jc w:val="center"/>
              <w:rPr/>
            </w:pPr>
            <w:r>
              <w:rPr>
                <w:lang w:val="en-US"/>
              </w:rPr>
              <w:t>N</w:t>
            </w:r>
            <w:r>
              <w:rPr/>
              <w:t xml:space="preserve"> - количество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образования, управление физической культуры и спорта, управление по делам молодежи Исполнительного комитета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Увеличение количества обращений, поступившие в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</w:rPr>
              <w:t>центры здоровья, ед.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36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N - количество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Данные</w:t>
            </w:r>
          </w:p>
          <w:p>
            <w:pPr>
              <w:pStyle w:val="Normal"/>
              <w:widowControl w:val="false"/>
              <w:rPr/>
            </w:pPr>
            <w:r>
              <w:rPr/>
              <w:t>формы отраслевого статистического наблюдения № 68 «Сведения о</w:t>
            </w:r>
          </w:p>
          <w:p>
            <w:pPr>
              <w:pStyle w:val="Normal"/>
              <w:widowControl w:val="false"/>
              <w:rPr/>
            </w:pPr>
            <w:r>
              <w:rPr/>
              <w:t>деятельности центра здоровья», утвержденной приказом</w:t>
            </w:r>
          </w:p>
          <w:p>
            <w:pPr>
              <w:pStyle w:val="Normal"/>
              <w:widowControl w:val="false"/>
              <w:rPr/>
            </w:pPr>
            <w:r>
              <w:rPr/>
              <w:t>Минздравсоцразвития России от 19.08.2009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№ </w:t>
            </w:r>
            <w:r>
              <w:rPr/>
              <w:t>597н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Увеличение количества единых открытых уроков на тему «Здоровое питание» в образовательных организациях города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360"/>
              <w:jc w:val="center"/>
              <w:rPr/>
            </w:pPr>
            <w:r>
              <w:rPr>
                <w:lang w:val="en-US"/>
              </w:rPr>
              <w:t>N</w:t>
            </w:r>
            <w:r>
              <w:rPr/>
              <w:t xml:space="preserve"> - количество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образования, управление физической культуры и спорта, управление по делам молодежи Исполнительного комитета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/>
            </w:pPr>
            <w:r>
              <w:rPr>
                <w:rStyle w:val="FontStyle20"/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val="ru-RU" w:eastAsia="zh-CN" w:bidi="ar-SA"/>
              </w:rPr>
              <w:t>Увеличение доли лиц систематически занимающиеся физической культурой и спортом в общей численности населения в возрасте от 3-х лет и старше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Дз = Чз / Чн х 100, где: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Дз - удельный вес населения города, систематически занимающихся физической культурой и спортом,</w:t>
            </w:r>
          </w:p>
          <w:p>
            <w:pPr>
              <w:pStyle w:val="15"/>
              <w:widowControl w:val="false"/>
              <w:ind w:left="0" w:right="0" w:hanging="0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Чз - численность занимающихся физической культурой и спортом; Чн - численность населения по данным статистики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Данные статистического наблюдения по форме № 1-ФК «Сведения о физической культуре и спорте»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/>
            </w:pPr>
            <w:r>
              <w:rPr>
                <w:b w:val="false"/>
                <w:bCs w:val="false"/>
              </w:rPr>
              <w:t>Увеличение охвата населения диспансеризацией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  <w:t>Значение показателя рассчитывается исходя из фактического количества лиц, которым необходимо пройти диспансеризацию по отношению к числу лиц, прошедших диспансеризацию.</w:t>
            </w:r>
          </w:p>
          <w:p>
            <w:pPr>
              <w:pStyle w:val="Normal"/>
              <w:widowControl w:val="false"/>
              <w:shd w:val="clear" w:color="auto" w:fill="FFFFFF"/>
              <w:ind w:left="0" w:right="0" w:firstLine="195"/>
              <w:jc w:val="center"/>
              <w:rPr/>
            </w:pPr>
            <w:r>
              <w:rPr/>
              <w:drawing>
                <wp:inline distT="0" distB="0" distL="0" distR="0">
                  <wp:extent cx="799465" cy="41656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47" t="-2000" r="-1047" b="-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,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где </w:t>
            </w:r>
            <w:r>
              <w:rPr>
                <w:i/>
                <w:iCs/>
              </w:rPr>
              <w:t>K</w:t>
            </w:r>
            <w:r>
              <w:rPr/>
              <w:t> - необходимый показатель, </w:t>
            </w:r>
            <w:r>
              <w:rPr>
                <w:i/>
                <w:iCs/>
              </w:rPr>
              <w:t>a</w:t>
            </w:r>
            <w:r>
              <w:rPr/>
              <w:t> - количество случаев, которые необходимо выразить в процентах; </w:t>
            </w:r>
            <w:r>
              <w:rPr>
                <w:i/>
                <w:iCs/>
              </w:rPr>
              <w:t>b</w:t>
            </w:r>
            <w:r>
              <w:rPr/>
              <w:t> - общее количество случаев, принимаемое за 100%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Статистические данные ГАУЗ «Республиканский медико-информационный центр»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  <w:lang w:eastAsia="ru-RU"/>
              </w:rPr>
              <w:t>Проведение мероприятий с целью снижения злоупотребления алкогольной продукцией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360"/>
              <w:jc w:val="center"/>
              <w:rPr/>
            </w:pPr>
            <w:r>
              <w:rPr>
                <w:lang w:val="en-US"/>
              </w:rPr>
              <w:t>N</w:t>
            </w:r>
            <w:r>
              <w:rPr/>
              <w:t xml:space="preserve"> - количество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физической культуры и спорта, управление образования, управление по делам молодежи, управление экономики и поддержки предпринимательства  Исполнительного комитета</w:t>
            </w:r>
          </w:p>
        </w:tc>
      </w:tr>
      <w:tr>
        <w:trPr/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numPr>
                <w:ilvl w:val="0"/>
                <w:numId w:val="2"/>
              </w:numPr>
              <w:ind w:left="-30" w:right="0" w:hanging="360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  <w:t>Проведение мероприятий по вопросу снижения распространенности курения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360"/>
              <w:jc w:val="center"/>
              <w:rPr/>
            </w:pPr>
            <w:r>
              <w:rPr>
                <w:lang w:val="en-US"/>
              </w:rPr>
              <w:t>N</w:t>
            </w:r>
            <w:r>
              <w:rPr/>
              <w:t xml:space="preserve"> - количество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физической культуры и спорта, управление образования, управление по делам молодежи, управление экономики и поддержки предпринимательства  Исполнительного комитета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Глава 5. Ресурсное обеспечение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>
          <w:kern w:val="0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</w:rPr>
        <w:t>Выделение денежных средств на реализацию программы не предусмотрено.</w:t>
      </w:r>
    </w:p>
    <w:p>
      <w:pPr>
        <w:pStyle w:val="ConsNormal"/>
        <w:widowControl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sz w:val="24"/>
          <w:szCs w:val="24"/>
        </w:rPr>
      </w:pPr>
      <w:r>
        <w:rPr>
          <w:sz w:val="28"/>
          <w:szCs w:val="28"/>
        </w:rPr>
        <w:t>Глава 6. Оценка эффективности реализации программы</w:t>
      </w:r>
    </w:p>
    <w:p>
      <w:pPr>
        <w:pStyle w:val="Style210"/>
        <w:widowControl/>
        <w:spacing w:lineRule="auto" w:line="240"/>
        <w:ind w:left="0" w:right="0" w:firstLine="6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исполнителем по итогам ее исполнения за отчетный год и в целом после завершения реализации программы.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 – экономическая эффективность от реализации программы будет достигнута за счет: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межведомственных взаимоотношений, способствующей сохранению и улучшению состояния здоровья населения в городе Набережные Челны;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квалифицированной информации о здоровом образе жизни, физической культуре, спорте, здоровом питании и репродуктивном здоровье  населением города Набережные Челны;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мотивации граждан к здоровому образу жизни, включая здоровое питание и отказ от вредных привычек;</w:t>
      </w:r>
    </w:p>
    <w:p>
      <w:pPr>
        <w:sectPr>
          <w:type w:val="nextPage"/>
          <w:pgSz w:w="11906" w:h="16838"/>
          <w:pgMar w:left="992" w:right="992" w:gutter="0" w:header="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создания условий для улучшения демографической ситуации, увеличения средней продолжительности жизни, снижения преждевременной смертности, заболеваемости, инвалидизации населения в городе Набережные Челны.</w:t>
      </w:r>
    </w:p>
    <w:p>
      <w:pPr>
        <w:pStyle w:val="Style41"/>
        <w:widowControl/>
        <w:spacing w:lineRule="exact" w:line="240"/>
        <w:jc w:val="center"/>
        <w:rPr>
          <w:sz w:val="20"/>
          <w:szCs w:val="20"/>
        </w:rPr>
      </w:pPr>
      <w:r>
        <w:rPr>
          <w:sz w:val="28"/>
          <w:szCs w:val="28"/>
        </w:rPr>
        <w:t>Глава 7. Программные мероприятия</w:t>
      </w:r>
    </w:p>
    <w:p>
      <w:pPr>
        <w:pStyle w:val="Style41"/>
        <w:widowControl/>
        <w:spacing w:lineRule="exact" w:line="2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FontStyle19"/>
          <w:sz w:val="28"/>
        </w:rPr>
        <w:t xml:space="preserve">Цель, задачи, индикаторы оценки результатов и финансирование по мероприятиям </w:t>
      </w:r>
      <w:r>
        <w:rPr>
          <w:sz w:val="28"/>
        </w:rPr>
        <w:t xml:space="preserve">программы </w:t>
      </w:r>
    </w:p>
    <w:p>
      <w:pPr>
        <w:pStyle w:val="Style41"/>
        <w:widowControl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51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36"/>
        <w:gridCol w:w="2772"/>
        <w:gridCol w:w="1476"/>
        <w:gridCol w:w="2376"/>
        <w:gridCol w:w="743"/>
        <w:gridCol w:w="686"/>
        <w:gridCol w:w="732"/>
        <w:gridCol w:w="731"/>
        <w:gridCol w:w="685"/>
        <w:gridCol w:w="684"/>
        <w:gridCol w:w="2187"/>
        <w:gridCol w:w="1"/>
      </w:tblGrid>
      <w:tr>
        <w:trPr/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</w:rPr>
              <w:t>Наименование основного мероприятия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</w:rPr>
              <w:t>Исполнители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</w:rPr>
              <w:t>Сроки выполнения основных мероприятий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</w:rPr>
              <w:t>Индикаторы оценки конечных результатов</w:t>
            </w:r>
          </w:p>
        </w:tc>
        <w:tc>
          <w:tcPr>
            <w:tcW w:w="4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rPr/>
            </w:pPr>
            <w:r>
              <w:rPr>
                <w:rStyle w:val="FontStyle19"/>
              </w:rPr>
              <w:t>Значение индикаторов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Финансирование (тыс. руб.)</w:t>
            </w:r>
          </w:p>
        </w:tc>
      </w:tr>
      <w:tr>
        <w:trPr/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ind w:left="0" w:right="0" w:firstLine="548"/>
              <w:jc w:val="center"/>
              <w:rPr/>
            </w:pPr>
            <w:r>
              <w:rPr/>
            </w:r>
          </w:p>
        </w:tc>
        <w:tc>
          <w:tcPr>
            <w:tcW w:w="2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ind w:left="0" w:right="0" w:firstLine="548"/>
              <w:jc w:val="center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ind w:left="0" w:right="0" w:firstLine="548"/>
              <w:jc w:val="center"/>
              <w:rPr/>
            </w:pPr>
            <w:r>
              <w:rPr/>
            </w:r>
          </w:p>
        </w:tc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ind w:left="0" w:right="0" w:firstLine="548"/>
              <w:jc w:val="center"/>
              <w:rPr/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uppressAutoHyphens w:val="true"/>
              <w:bidi w:val="0"/>
              <w:spacing w:lineRule="atLeast" w:line="300" w:before="0" w:after="0"/>
              <w:ind w:left="0" w:right="0" w:hanging="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2027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2028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2029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jc w:val="center"/>
              <w:rPr/>
            </w:pPr>
            <w:r>
              <w:rPr>
                <w:rStyle w:val="FontStyle20"/>
                <w:sz w:val="22"/>
                <w:szCs w:val="22"/>
              </w:rPr>
              <w:t>2030</w:t>
            </w:r>
          </w:p>
        </w:tc>
        <w:tc>
          <w:tcPr>
            <w:tcW w:w="21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pacing w:lineRule="atLeast" w:line="300"/>
              <w:ind w:left="57" w:right="227" w:hanging="0"/>
              <w:jc w:val="center"/>
              <w:rPr/>
            </w:pPr>
            <w:r>
              <w:rPr/>
              <w:t>2026-2030</w:t>
            </w:r>
          </w:p>
        </w:tc>
      </w:tr>
      <w:tr>
        <w:trPr/>
        <w:tc>
          <w:tcPr>
            <w:tcW w:w="15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uppressAutoHyphens w:val="true"/>
              <w:bidi w:val="0"/>
              <w:spacing w:lineRule="atLeast" w:line="300" w:before="0" w:after="0"/>
              <w:ind w:left="-113" w:right="227" w:hanging="0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Улучшение здоровья населения, качества жизни, формирование культуры общественного здоровья, ответственного отношения к здоровью</w:t>
            </w:r>
          </w:p>
        </w:tc>
      </w:tr>
      <w:tr>
        <w:trPr/>
        <w:tc>
          <w:tcPr>
            <w:tcW w:w="15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13" w:right="113" w:hanging="0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Наименование задачи: повышение осведомлённости населения о здоровом образе жизни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Организация информационно-коммуникационных кампаний, направленных на мотивацию граждан к здоровому образу жизни, включая здоровое питание, двигательную активность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образования, 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2026-2030 годы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50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113" w:hanging="0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44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Трансляция на информационных табло, на ведомственных плазмах внутри зданий социальной рекламы по вопросам формирования здорового образа жизни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Style20"/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Управление физической культуры и спорта, управление образования, управление по делам молодежи Исполнительного комитета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4"/>
                <w:szCs w:val="24"/>
                <w:lang w:val="ru-RU" w:eastAsia="zh-CN" w:bidi="ar-SA"/>
              </w:rPr>
              <w:t>Количество информационных материалов, показанных на видеоэкранах, ед.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-142" w:right="0" w:hanging="0"/>
              <w:jc w:val="center"/>
              <w:rPr/>
            </w:pPr>
            <w:r>
              <w:rPr/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uppressAutoHyphens w:val="true"/>
              <w:bidi w:val="0"/>
              <w:spacing w:lineRule="exact" w:line="308" w:before="43" w:after="0"/>
              <w:ind w:left="0" w:right="0" w:hanging="0"/>
              <w:jc w:val="center"/>
              <w:rPr/>
            </w:pPr>
            <w:r>
              <w:rPr/>
              <w:t>12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uppressAutoHyphens w:val="true"/>
              <w:bidi w:val="0"/>
              <w:spacing w:lineRule="exact" w:line="308" w:before="43" w:after="0"/>
              <w:ind w:left="0" w:right="0" w:hanging="0"/>
              <w:jc w:val="center"/>
              <w:rPr/>
            </w:pPr>
            <w:r>
              <w:rPr/>
              <w:t>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-78" w:right="-113" w:hanging="0"/>
              <w:jc w:val="center"/>
              <w:rPr/>
            </w:pPr>
            <w:r>
              <w:rPr/>
              <w:t>14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15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Наименование задачи: профилактика заболеваний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Организаци</w:t>
            </w:r>
            <w:r>
              <w:rPr/>
              <w:t>я</w:t>
            </w:r>
            <w:r>
              <w:rPr/>
              <w:t xml:space="preserve"> центров здоровья среди населения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Количество обращений в центр здоровья, ед.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/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2"/>
                <w:szCs w:val="22"/>
                <w:lang w:val="ru-RU" w:eastAsia="zh-CN" w:bidi="ar-SA"/>
              </w:rPr>
              <w:t>14300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2"/>
                <w:szCs w:val="22"/>
                <w:lang w:val="ru-RU" w:eastAsia="zh-CN" w:bidi="ar-SA"/>
              </w:rPr>
              <w:t>16500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2"/>
                <w:szCs w:val="22"/>
                <w:lang w:val="ru-RU" w:eastAsia="zh-CN" w:bidi="ar-SA"/>
              </w:rPr>
              <w:t>17200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2"/>
                <w:szCs w:val="22"/>
                <w:lang w:val="ru-RU" w:eastAsia="zh-CN" w:bidi="ar-SA"/>
              </w:rPr>
              <w:t>18000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-101" w:hanging="0"/>
              <w:jc w:val="center"/>
              <w:rPr/>
            </w:pPr>
            <w:r>
              <w:rPr>
                <w:rStyle w:val="FontStyle20"/>
                <w:rFonts w:eastAsia="Times New Roman"/>
                <w:color w:val="auto"/>
                <w:sz w:val="22"/>
                <w:szCs w:val="22"/>
                <w:lang w:val="ru-RU" w:eastAsia="zh-CN" w:bidi="ar-SA"/>
              </w:rPr>
              <w:t>18751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Проведение в образовательных организациях города единых открытых уроков на тему «Здоровое питание»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образования Исполнительного комитета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 xml:space="preserve">Количества детей и подростков, принявших участие в открытых уроках «Здоровое питание», </w:t>
            </w:r>
            <w:r>
              <w:rPr>
                <w:rStyle w:val="FontStyle20"/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чел.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2000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2200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2500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2700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3000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uppressAutoHyphens w:val="true"/>
              <w:bidi w:val="0"/>
              <w:spacing w:lineRule="atLeast" w:line="300" w:before="0" w:after="0"/>
              <w:ind w:left="-113" w:right="227" w:hanging="0"/>
              <w:jc w:val="left"/>
              <w:rPr/>
            </w:pPr>
            <w:r>
              <w:rPr>
                <w:rStyle w:val="FontStyle19"/>
                <w:bCs/>
                <w:sz w:val="24"/>
                <w:szCs w:val="24"/>
                <w:lang w:val="en-US"/>
              </w:rPr>
              <w:t>Наименование задачи: увеличение физической активности</w:t>
            </w:r>
          </w:p>
        </w:tc>
      </w:tr>
      <w:tr>
        <w:trPr>
          <w:trHeight w:val="965" w:hRule="atLeast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10" w:hanging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Проведение физкультурно - оздоровительных, комплексных, спортивных мероприятий среди различных возрастных групп населения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2026-2030 годы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Доля населения, систематически занимающегося физической культурой и спортом, в общей численности населения в возрасте от 3-х лет и старше, %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68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69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70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71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71,5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72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  <w:shd w:fill="auto" w:val="clear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AFAFA"/>
              <w:suppressAutoHyphens w:val="true"/>
              <w:bidi w:val="0"/>
              <w:spacing w:lineRule="atLeast" w:line="300" w:before="0" w:after="0"/>
              <w:ind w:left="-113" w:right="227" w:hanging="0"/>
              <w:jc w:val="left"/>
              <w:rPr/>
            </w:pPr>
            <w:r>
              <w:rPr>
                <w:rStyle w:val="FontStyle19"/>
                <w:sz w:val="24"/>
                <w:szCs w:val="24"/>
              </w:rPr>
              <w:t>Наименование задачи: доступность профилактической медицинской помощи</w:t>
            </w:r>
          </w:p>
        </w:tc>
      </w:tr>
      <w:tr>
        <w:trPr>
          <w:trHeight w:val="1408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ind w:left="-105" w:right="0" w:hanging="0"/>
              <w:jc w:val="both"/>
              <w:rPr/>
            </w:pPr>
            <w:r>
              <w:rPr/>
              <w:t>Содействие в проведении в профилактических медицинских осмотров детского и взрослого населения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физической культуры и спорта, управление образования, управление по делам молодежи Исполнительного комитета, управление экономического развития и поддержки предпринимательства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 xml:space="preserve">Охват населения диспансеризацией от плана, </w:t>
            </w:r>
            <w:r>
              <w:rPr>
                <w:rStyle w:val="FontStyle20"/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%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</w:rPr>
              <w:t>100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5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left"/>
              <w:rPr/>
            </w:pPr>
            <w:r>
              <w:rPr>
                <w:rStyle w:val="FontStyle19"/>
                <w:rFonts w:eastAsia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Наименование задачи: снижение факторов риска, </w:t>
            </w:r>
            <w:r>
              <w:rPr>
                <w:rStyle w:val="FontStyle19"/>
                <w:rFonts w:eastAsia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в том числе</w:t>
            </w:r>
            <w:r>
              <w:rPr>
                <w:rStyle w:val="FontStyle19"/>
                <w:rFonts w:eastAsia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табакокурения, употребления алкоголя и наркотических средств, </w:t>
            </w:r>
            <w:r>
              <w:rPr>
                <w:rStyle w:val="FontStyle19"/>
                <w:rFonts w:eastAsia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неправильного питания, недостаточной физической активности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08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both"/>
              <w:rPr/>
            </w:pPr>
            <w:r>
              <w:rPr>
                <w:rStyle w:val="FontStyle19"/>
                <w:sz w:val="24"/>
                <w:szCs w:val="24"/>
                <w:shd w:fill="auto" w:val="clear"/>
              </w:rPr>
              <w:t>Организация ежегодной массовой профилактической акции «Мы за здоровый образ жизни» с проведением тематических пресс-конференций, семинаров, конкурсов, выставок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rPr/>
            </w:pPr>
            <w:r>
              <w:rPr>
                <w:rStyle w:val="FontStyle19"/>
                <w:rFonts w:eastAsia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Управление образования Исполнительного комитета, управление по делам молодежи Исполнительного комитета, управление физической культурой и спорта Исполнительного комитета, управление культуры Исполнительного комитета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Количество участников акций, чел.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47 000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48 000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48 000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48 000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48 000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48 000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rFonts w:eastAsia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08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Организация и проведение мероприятий по вопросам снижения распространенности курения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физической культуры и спорта, управление образования, управление по делам молодежи Исполнительного комитета, управление экономического развития и поддержки предпринимательства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sz w:val="24"/>
                <w:szCs w:val="24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 w:before="0" w:after="0"/>
              <w:jc w:val="center"/>
              <w:rPr/>
            </w:pPr>
            <w:r>
              <w:rPr/>
              <w:t>Количество детей и подростков принявших участие в мероприятиях, ед.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2000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2200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2500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2700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before="43" w:after="0"/>
              <w:ind w:left="0" w:right="0" w:hanging="0"/>
              <w:jc w:val="center"/>
              <w:rPr/>
            </w:pPr>
            <w:r>
              <w:rPr>
                <w:rStyle w:val="FontStyle19"/>
                <w:sz w:val="22"/>
                <w:szCs w:val="22"/>
              </w:rPr>
              <w:t>3000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08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1"/>
              <w:widowControl w:val="false"/>
              <w:spacing w:lineRule="auto" w:line="240"/>
              <w:ind w:left="5" w:right="0" w:hanging="5"/>
              <w:jc w:val="both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Организация республиканского этапа Всероссийской акции «Спорт - альтернатива пагубным привычкам»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2026-2030 годы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spacing w:lineRule="auto" w:line="240"/>
              <w:jc w:val="center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Доля обучающихся -участников акции от общего числа обучающихся общеобразовательных организаций, %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0" w:right="0" w:hanging="0"/>
              <w:jc w:val="center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-108" w:right="0" w:hanging="0"/>
              <w:jc w:val="center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0" w:right="0" w:hanging="0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96,1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0" w:right="0" w:hanging="0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96,2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0" w:right="0" w:hanging="0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96,3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spacing w:lineRule="auto" w:line="240" w:before="43" w:after="0"/>
              <w:ind w:left="0" w:right="0" w:hanging="0"/>
              <w:rPr/>
            </w:pPr>
            <w:r>
              <w:rPr>
                <w:rStyle w:val="FontStyle19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96,4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center"/>
              <w:rPr/>
            </w:pPr>
            <w:r>
              <w:rPr>
                <w:rStyle w:val="FontStyle19"/>
                <w:sz w:val="24"/>
                <w:szCs w:val="24"/>
                <w:shd w:fill="auto" w:val="clear"/>
              </w:rPr>
              <w:t>Мероприятие носит организационный характер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42" w:right="0" w:hanging="0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ind w:left="142" w:right="0" w:hanging="0"/>
        <w:rPr/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ind w:left="142" w:right="0" w:hanging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Н.И. Галиева </w:t>
      </w:r>
    </w:p>
    <w:p>
      <w:pPr>
        <w:pStyle w:val="Normal"/>
        <w:ind w:left="113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13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left="113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>
      <w:pPr>
        <w:pStyle w:val="Normal"/>
        <w:spacing w:lineRule="auto" w:line="240"/>
        <w:ind w:left="113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</w:t>
        <w:tab/>
        <w:tab/>
        <w:tab/>
        <w:tab/>
        <w:tab/>
        <w:tab/>
        <w:tab/>
        <w:tab/>
        <w:tab/>
        <w:tab/>
        <w:tab/>
        <w:tab/>
        <w:tab/>
        <w:t xml:space="preserve">        Р.Р. Ахметшин</w:t>
      </w:r>
    </w:p>
    <w:sectPr>
      <w:type w:val="nextPage"/>
      <w:pgSz w:orient="landscape" w:w="16838" w:h="11906"/>
      <w:pgMar w:left="851" w:right="851" w:gutter="0" w:header="0" w:top="588" w:footer="0" w:bottom="9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widowControl w:val="false"/>
      <w:numPr>
        <w:ilvl w:val="0"/>
        <w:numId w:val="1"/>
      </w:numPr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uiPriority w:val="9"/>
    <w:unhideWhenUsed/>
    <w:qFormat/>
    <w:pPr>
      <w:keepNext w:val="true"/>
      <w:numPr>
        <w:ilvl w:val="2"/>
        <w:numId w:val="1"/>
      </w:numPr>
      <w:ind w:left="3540" w:right="0" w:hanging="0"/>
      <w:jc w:val="center"/>
      <w:outlineLvl w:val="2"/>
    </w:pPr>
    <w:rPr>
      <w:b/>
      <w:bCs/>
    </w:rPr>
  </w:style>
  <w:style w:type="paragraph" w:styleId="4">
    <w:name w:val="Heading 4"/>
    <w:basedOn w:val="Normal"/>
    <w:uiPriority w:val="9"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WW8Num3z0">
    <w:name w:val="WW8Num3z0"/>
    <w:qFormat/>
    <w:rPr/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sz w:val="28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11">
    <w:name w:val="Основной шрифт абзаца1"/>
    <w:qFormat/>
    <w:rPr/>
  </w:style>
  <w:style w:type="character" w:styleId="Style10">
    <w:name w:val="Page Number"/>
    <w:basedOn w:val="11"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4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2"/>
      <w:szCs w:val="22"/>
    </w:rPr>
  </w:style>
  <w:style w:type="character" w:styleId="FontStyle20">
    <w:name w:val="Font Style20"/>
    <w:qFormat/>
    <w:rPr>
      <w:rFonts w:ascii="Times New Roman" w:hAnsi="Times New Roman" w:cs="Times New Roman"/>
      <w:sz w:val="18"/>
      <w:szCs w:val="18"/>
    </w:rPr>
  </w:style>
  <w:style w:type="character" w:styleId="Style12">
    <w:name w:val="Без интервала Знак"/>
    <w:qFormat/>
    <w:rPr>
      <w:sz w:val="24"/>
      <w:szCs w:val="24"/>
      <w:lang w:bidi="ar-SA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both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sz w:val="26"/>
    </w:rPr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1">
    <w:name w:val="Основной текст 21"/>
    <w:basedOn w:val="Normal"/>
    <w:qFormat/>
    <w:pPr>
      <w:jc w:val="center"/>
    </w:pPr>
    <w:rPr>
      <w:b/>
      <w:bCs/>
    </w:rPr>
  </w:style>
  <w:style w:type="paragraph" w:styleId="43">
    <w:name w:val="Стиль4"/>
    <w:basedOn w:val="Normal"/>
    <w:qFormat/>
    <w:pPr/>
    <w:rPr>
      <w:sz w:val="26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9">
    <w:name w:val="Body Text Indent"/>
    <w:basedOn w:val="Normal"/>
    <w:pPr>
      <w:spacing w:before="0" w:after="120"/>
      <w:ind w:left="283" w:right="0" w:hanging="0"/>
    </w:pPr>
    <w:rPr/>
  </w:style>
  <w:style w:type="paragraph" w:styleId="Preformatted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10">
    <w:name w:val="Style1"/>
    <w:basedOn w:val="Normal"/>
    <w:qFormat/>
    <w:pPr>
      <w:widowControl w:val="false"/>
    </w:pPr>
    <w:rPr/>
  </w:style>
  <w:style w:type="paragraph" w:styleId="Style41">
    <w:name w:val="Style4"/>
    <w:basedOn w:val="Normal"/>
    <w:qFormat/>
    <w:pPr>
      <w:widowControl w:val="false"/>
      <w:spacing w:lineRule="exact" w:line="308"/>
      <w:ind w:left="0" w:right="0" w:firstLine="658"/>
      <w:jc w:val="both"/>
    </w:pPr>
    <w:rPr/>
  </w:style>
  <w:style w:type="paragraph" w:styleId="Style210">
    <w:name w:val="Style2"/>
    <w:basedOn w:val="Normal"/>
    <w:qFormat/>
    <w:pPr>
      <w:widowControl w:val="false"/>
      <w:spacing w:lineRule="exact" w:line="317"/>
      <w:ind w:left="0" w:right="0" w:firstLine="648"/>
      <w:jc w:val="both"/>
    </w:pPr>
    <w:rPr/>
  </w:style>
  <w:style w:type="paragraph" w:styleId="Style32">
    <w:name w:val="Style3"/>
    <w:basedOn w:val="Normal"/>
    <w:qFormat/>
    <w:pPr>
      <w:widowControl w:val="false"/>
    </w:pPr>
    <w:rPr/>
  </w:style>
  <w:style w:type="paragraph" w:styleId="Style61">
    <w:name w:val="Style6"/>
    <w:basedOn w:val="Normal"/>
    <w:qFormat/>
    <w:pPr>
      <w:widowControl w:val="false"/>
      <w:spacing w:lineRule="exact" w:line="310"/>
    </w:pPr>
    <w:rPr/>
  </w:style>
  <w:style w:type="paragraph" w:styleId="Style51">
    <w:name w:val="Style5"/>
    <w:basedOn w:val="Normal"/>
    <w:qFormat/>
    <w:pPr>
      <w:widowControl w:val="false"/>
    </w:pPr>
    <w:rPr/>
  </w:style>
  <w:style w:type="paragraph" w:styleId="Style131">
    <w:name w:val="Style13"/>
    <w:basedOn w:val="Normal"/>
    <w:qFormat/>
    <w:pPr>
      <w:widowControl w:val="false"/>
      <w:spacing w:lineRule="exact" w:line="216"/>
    </w:pPr>
    <w:rPr/>
  </w:style>
  <w:style w:type="paragraph" w:styleId="Headertext">
    <w:name w:val="headertext"/>
    <w:basedOn w:val="Normal"/>
    <w:qFormat/>
    <w:pPr>
      <w:spacing w:before="280" w:after="28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Entryfilesize">
    <w:name w:val="entry_file_size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15">
    <w:name w:val="Абзац списка1"/>
    <w:basedOn w:val="Normal"/>
    <w:qFormat/>
    <w:pPr>
      <w:spacing w:before="0" w:after="0"/>
      <w:ind w:left="720" w:right="0" w:hanging="0"/>
      <w:contextualSpacing/>
    </w:pPr>
    <w:rPr>
      <w:rFonts w:eastAsia="Calibr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Application>LibreOffice/7.5.6.2$Linux_X86_64 LibreOffice_project/50$Build-2</Application>
  <AppVersion>15.0000</AppVersion>
  <Pages>12</Pages>
  <Words>2703</Words>
  <Characters>19768</Characters>
  <CharactersWithSpaces>22281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2021-05-07T05:50:00Z</dcterms:created>
  <dc:creator>nikitina</dc:creator>
  <dc:description/>
  <dc:language>ru-RU</dc:language>
  <cp:lastModifiedBy/>
  <cp:lastPrinted>2025-09-16T13:45:23Z</cp:lastPrinted>
  <dcterms:modified xsi:type="dcterms:W3CDTF">2025-10-22T10:52:39Z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