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Проект постановления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4962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О внесении изменений в постановление Исполнительного комитета от 14.10.2022 № 5552 «О муниципальной программе «Профилактика наркотизации населения в городе Набережные Челны на 2023-2025 годы»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 соответствии с Бюджетным кодексом Российской Федерации,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 О С Т А Н О В Л Я Ю: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567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Внести в постановление Исполнительного комитета от 14.10.2022 № 5552 «О муниципальной программе «Профилактика наркотизации населения в городе Набережные Челны на 2023-2025 годы» (в редакции постановления Исполнительного комитета от 15.03.2024 № 1667) следующие изменения: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1) пункт 2 изложить в следующей редакции: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«2. Управлению финансов Исполнительного комитета обеспечить финансирование мероприятий по реализации муниципальной программы «Профилактика наркотизации населения в городе Набережные Челны на 2023-2025 годы» за счет средств, предусмотренных в бюджете муниципального образования город Набережные Челны на 2023 год и плановый период 2024 и 2025 годов по разделу (подразделу) 07.07 «Молодежная политика и оздоровление детей», в размере 1099,06 тыс. руб.: в 2023 году – 386,84 тыс. рублей, в 2024 году – 340,27 тыс. рублей, в 2025 году – 371,95 тыс. рублей.»;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- строку «Объемы и источники финансирования Программы с разбивкой по годам» изложить в следующей редакции: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10632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98"/>
        <w:gridCol w:w="2014"/>
        <w:gridCol w:w="1550"/>
        <w:gridCol w:w="1549"/>
        <w:gridCol w:w="1550"/>
        <w:gridCol w:w="1670"/>
      </w:tblGrid>
      <w:tr>
        <w:trPr>
          <w:trHeight w:val="344" w:hRule="atLeast"/>
          <w:cantSplit w:val="true"/>
        </w:trPr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«Объемы и источники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финансирования Программы с разбивкой по годам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Источники финансирования</w:t>
            </w:r>
          </w:p>
        </w:tc>
        <w:tc>
          <w:tcPr>
            <w:tcW w:w="6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Годы реализации Программы</w:t>
            </w:r>
          </w:p>
        </w:tc>
      </w:tr>
      <w:tr>
        <w:trPr>
          <w:cantSplit w:val="true"/>
        </w:trPr>
        <w:tc>
          <w:tcPr>
            <w:tcW w:w="22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0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2023 год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(тыс.рублей)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2024 год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(тыс.рублей)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2025 год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(тыс.рублей)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Всего за период реализации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(тыс.рублей)</w:t>
            </w:r>
          </w:p>
        </w:tc>
      </w:tr>
      <w:tr>
        <w:trPr>
          <w:cantSplit w:val="true"/>
        </w:trPr>
        <w:tc>
          <w:tcPr>
            <w:tcW w:w="22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Муниципальный бюджет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386,84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6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340,27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371,95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1099,06</w:t>
            </w:r>
          </w:p>
        </w:tc>
      </w:tr>
      <w:tr>
        <w:trPr>
          <w:cantSplit w:val="true"/>
        </w:trPr>
        <w:tc>
          <w:tcPr>
            <w:tcW w:w="22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Федеральный бюджет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</w:tr>
      <w:tr>
        <w:trPr>
          <w:cantSplit w:val="true"/>
        </w:trPr>
        <w:tc>
          <w:tcPr>
            <w:tcW w:w="22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Республиканский бюджет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</w:tr>
      <w:tr>
        <w:trPr>
          <w:cantSplit w:val="true"/>
        </w:trPr>
        <w:tc>
          <w:tcPr>
            <w:tcW w:w="22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Прочие источники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</w:tr>
      <w:tr>
        <w:trPr>
          <w:cantSplit w:val="true"/>
        </w:trPr>
        <w:tc>
          <w:tcPr>
            <w:tcW w:w="22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Всего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386, 84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6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340,27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371,95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1099,06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- главу 5 изложить в следующей редакции: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649" w:left="6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«Глава 5. Ресурсное обеспечение Программы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649" w:left="6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649" w:left="6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Объем финансирования Программы на 2023-2025 годы составляет 1099,06 тыс. рублей.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649" w:left="6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649" w:left="6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Бюджетные средства муниципального образования город Набережные Челны: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649" w:left="6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Всего за период 1099,06 тыс. рублей, в том числе по годам реализации Программы: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649" w:left="6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2023 год – 386,84 тыс. руб., 2024 год – 340,27 тыс. руб., 2025 год – 371,95 тыс. руб.»;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- приложение № 1 изложить в новой редакции согласно приложению.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1260" w:leader="none"/>
        </w:tabs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3. Контроль за исполнением настоящего постановления возложить на заместителя Руководителя Исполнительного комитета Халимова Р.М., заместителя Руководителя Исполнительного комитета, начальника управления финансов Мулюкову С.Р.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Руководитель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Исполнительного комитета</w:t>
        <w:tab/>
        <w:tab/>
        <w:tab/>
        <w:tab/>
        <w:tab/>
        <w:t xml:space="preserve">                                              Ф.Ш. Салахов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6804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Иванова Г.А.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30 56 67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707" w:gutter="0" w:header="709" w:top="1134" w:footer="709" w:bottom="1134"/>
          <w:pgNumType w:start="1" w:fmt="decimal"/>
          <w:formProt w:val="false"/>
          <w:titlePg/>
          <w:textDirection w:val="lrTb"/>
          <w:docGrid w:type="default" w:linePitch="100" w:charSpace="8192"/>
        </w:sect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  <w:r>
        <w:br w:type="page"/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10773" w:leader="none"/>
        </w:tabs>
        <w:spacing w:lineRule="auto" w:line="240" w:before="0" w:after="0"/>
        <w:ind w:firstLine="10065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Приложение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10773" w:leader="none"/>
        </w:tabs>
        <w:spacing w:lineRule="auto" w:line="240" w:before="0" w:after="0"/>
        <w:ind w:firstLine="10065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к постановлению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10773" w:leader="none"/>
        </w:tabs>
        <w:spacing w:lineRule="auto" w:line="240" w:before="0" w:after="0"/>
        <w:ind w:firstLine="10065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Исполнительного комитета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10773" w:leader="none"/>
        </w:tabs>
        <w:spacing w:lineRule="auto" w:line="240" w:before="0" w:after="0"/>
        <w:ind w:firstLine="10065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от «___» ______ 2025 № 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10773" w:leader="none"/>
        </w:tabs>
        <w:spacing w:lineRule="auto" w:line="240" w:before="0" w:after="0"/>
        <w:ind w:firstLine="10065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10773" w:leader="none"/>
        </w:tabs>
        <w:spacing w:lineRule="auto" w:line="240" w:before="0" w:after="0"/>
        <w:ind w:firstLine="10065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Приложение № 1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10065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к муниципальной программе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10065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«Профилактика наркотизации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10065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населения в городе Набережные Челны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10065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на 2023-2025 годы»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Цели, задачи, индикаторы оценки результатов и финансирование по мероприятиям муниципальной программы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«Профилактика наркотизации населения в городе Набережные Челны на 2023-2025 годы»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"/>
        <w:tblW w:w="16029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8"/>
        <w:gridCol w:w="2411"/>
        <w:gridCol w:w="1984"/>
        <w:gridCol w:w="1276"/>
        <w:gridCol w:w="1842"/>
        <w:gridCol w:w="846"/>
        <w:gridCol w:w="10"/>
        <w:gridCol w:w="1130"/>
        <w:gridCol w:w="9"/>
        <w:gridCol w:w="983"/>
        <w:gridCol w:w="10"/>
        <w:gridCol w:w="1030"/>
        <w:gridCol w:w="1228"/>
        <w:gridCol w:w="1133"/>
        <w:gridCol w:w="1135"/>
        <w:gridCol w:w="10"/>
        <w:gridCol w:w="283"/>
      </w:tblGrid>
      <w:tr>
        <w:trPr>
          <w:cantSplit w:val="true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№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п/п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Наименование основных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Сроки выполнения основных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Индикаторы оценки конечных результатов, единицы измерения</w:t>
            </w:r>
          </w:p>
        </w:tc>
        <w:tc>
          <w:tcPr>
            <w:tcW w:w="4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Значения индикаторов</w:t>
            </w:r>
          </w:p>
        </w:tc>
        <w:tc>
          <w:tcPr>
            <w:tcW w:w="3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Финансирование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(тыс. руб.)</w:t>
            </w:r>
          </w:p>
        </w:tc>
        <w:tc>
          <w:tcPr>
            <w:tcW w:w="283" w:type="dxa"/>
            <w:tcBorders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2022 год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базовый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6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2023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6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2024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год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2025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год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2023 год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тыс. руб.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2024 год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тыс. руб.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2025 год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тыс. руб.</w:t>
            </w:r>
          </w:p>
        </w:tc>
        <w:tc>
          <w:tcPr>
            <w:tcW w:w="283" w:type="dxa"/>
            <w:tcBorders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410" w:hRule="atLeast"/>
        </w:trPr>
        <w:tc>
          <w:tcPr>
            <w:tcW w:w="122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firstLine="742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Цель Программы: Создание системы комплексных мер, направленных на формирование здорового жизненного стиля, стратегий поведения и личностных ресурсов, препятствующих употреблению и распространению психоактивных веществ среди населения города Набережные Челны</w:t>
            </w:r>
          </w:p>
        </w:tc>
        <w:tc>
          <w:tcPr>
            <w:tcW w:w="3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Муниципальный бюджет</w:t>
            </w:r>
          </w:p>
        </w:tc>
        <w:tc>
          <w:tcPr>
            <w:tcW w:w="283" w:type="dxa"/>
            <w:tcBorders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40" w:hRule="atLeast"/>
        </w:trPr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firstLine="742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Доля подростков и молодежи в возрасте от 14 до 35 лет, занятой в учреждениях молодежной политики, дополнительного образования, культуры и спорта, от общей численности данной возрастной группы, проценты, %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firstLine="742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76,5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77,5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78,5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79,5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293" w:type="dxa"/>
            <w:gridSpan w:val="2"/>
            <w:tcBorders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40" w:hRule="atLeast"/>
        </w:trPr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firstLine="742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Доля подростков и молодежи, принявшей участие в профилактических мероприятиях, проценты, %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firstLine="742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76,5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77,5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293" w:type="dxa"/>
            <w:gridSpan w:val="2"/>
            <w:tcBorders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40" w:hRule="atLeast"/>
        </w:trPr>
        <w:tc>
          <w:tcPr>
            <w:tcW w:w="157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Задача 1. </w:t>
              <w:tab/>
              <w:t>Формирование у населения отрицательного отношения к потреблению наркотиков и мотивации на ведение здорового образа жизни, организация и проведение антинаркотических профилактических мероприятий для различных целевых групп населения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33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Реализация проекта «Коуч личностных стратегий»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Управление по делам молодежи Исполнительного комитета,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МБУ «Центр психолого-педагогической помощи детям и молодежи «Диалог»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организованных и проведенных мероприятий, единиц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23,58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23,6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29,06</w:t>
            </w:r>
          </w:p>
        </w:tc>
        <w:tc>
          <w:tcPr>
            <w:tcW w:w="283" w:type="dxa"/>
            <w:tcBorders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молодежи, принявшей участие в мероприятиях, чел.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463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350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350</w:t>
            </w:r>
          </w:p>
        </w:tc>
        <w:tc>
          <w:tcPr>
            <w:tcW w:w="1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highlight w:val="yellow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highlight w:val="yellow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42" w:leader="none"/>
                <w:tab w:val="left" w:pos="176" w:leader="none"/>
              </w:tabs>
              <w:spacing w:lineRule="auto" w:line="240" w:before="0" w:after="0"/>
              <w:ind w:hanging="0" w:left="33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76" w:leader="none"/>
              </w:tabs>
              <w:spacing w:lineRule="auto" w:line="240" w:before="0" w:after="0"/>
              <w:ind w:hanging="0" w:left="33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Реализация информационной площадки «#ОткрытыйДиалог»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Управление по делам молодежи Исполнительного комитета,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МБУ «Центр психолого-педагогической помощи детям и молодежи «Диалог»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проведенных информацинно-просветительских мероприятий, единиц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34,71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31,02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33,81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молодежи, охваченной мероприятиями, чел.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1333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300</w:t>
            </w:r>
          </w:p>
        </w:tc>
        <w:tc>
          <w:tcPr>
            <w:tcW w:w="1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highlight w:val="yellow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highlight w:val="yellow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42" w:leader="none"/>
              </w:tabs>
              <w:spacing w:lineRule="auto" w:line="240" w:before="0" w:after="0"/>
              <w:ind w:firstLine="33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33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Реализация проекта молодежных активностей «Антинаркотическая платформа «#СКРИН»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Управление по делам молодежи Исполнительного комитета,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МБУ «Центр психолого-педагогической помощи детям и молодежи «Диалог»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проведенных профилактических мероприятий в рамках проекта, единиц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104,05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62,7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64,91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молодежи, принявшей участие в мероприятиях конкурса, чел.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</w:t>
            </w:r>
          </w:p>
        </w:tc>
        <w:tc>
          <w:tcPr>
            <w:tcW w:w="1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42" w:leader="none"/>
              </w:tabs>
              <w:spacing w:lineRule="auto" w:line="240" w:before="0" w:after="0"/>
              <w:ind w:hanging="0" w:left="113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33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Реализация профилактического проекта «YOUность» (Юность)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Управление по делам молодежи Исполнительного комитета, МБУ «Центр психолого-педагогической помощи детям и молодежи «Диалог»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проведенных мероприятий, единиц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21,04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21,32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29,27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молодежи, принявшей участие в мероприятиях, чел.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547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350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350</w:t>
            </w:r>
          </w:p>
        </w:tc>
        <w:tc>
          <w:tcPr>
            <w:tcW w:w="1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33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Проведение спортивно-профилактического проекта среди детских и молодежных объединений города Набережные Челны «Турнир СпАРТианские игры»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Управление по делам молодежи Исполнительного комитета,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МАУ МЦ «Орион»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проведенных игр, единиц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</w:tc>
        <w:tc>
          <w:tcPr>
            <w:tcW w:w="283" w:type="dxa"/>
            <w:tcBorders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молодежи, принявшей участие в проекте, чел.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300</w:t>
            </w:r>
          </w:p>
        </w:tc>
        <w:tc>
          <w:tcPr>
            <w:tcW w:w="1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33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Реализация антинаркотического проекта «Dance &amp; health» («Танцы и здоровье»)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Управление по делам молодежи Исполнительного комитета,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МАУ МЦ «Шатлык»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молодежи, принявшей участие в проекте, чел.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120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120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проведенных мероприятий, единиц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1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33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Реализация спортивно-профилактического проекта «Спартакиада работающей молодежи города Набережные Челны»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Управление по делам молодежи Исполнительного комитета,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МАУ МЦ «Заман»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организаций, принимающих участие, единиц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19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19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молодежи, принявшей участие в проекте, чел.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2920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1000</w:t>
            </w:r>
          </w:p>
        </w:tc>
        <w:tc>
          <w:tcPr>
            <w:tcW w:w="1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42" w:leader="none"/>
              </w:tabs>
              <w:spacing w:lineRule="auto" w:line="240" w:before="0" w:after="0"/>
              <w:ind w:hanging="0" w:left="33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8.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33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Реализация психолого-педагогического проекта «Классная команда»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Управление по делам молодежи Исполнительного комитета,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МАУ МЦ «Заман»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проведенных мероприятиях, единиц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13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19,70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18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19,4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подростков и молодежи, принявший участие в проекте, чел.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300</w:t>
            </w:r>
          </w:p>
        </w:tc>
        <w:tc>
          <w:tcPr>
            <w:tcW w:w="1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42" w:leader="none"/>
              </w:tabs>
              <w:spacing w:lineRule="auto" w:line="240" w:before="0" w:after="0"/>
              <w:ind w:hanging="0" w:left="33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9.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33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Проведение городского антинаркотического велоквеста «Дорога в будущее»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Управление по делам молодежи Исполнительного комитета,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МАУ «ЦМ(П)К по месту жительства «Подросток»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проведенных мероприятий, единиц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17,93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подростков и молодежи, принявший участие в проекте, чел.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137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</w:t>
            </w:r>
          </w:p>
        </w:tc>
        <w:tc>
          <w:tcPr>
            <w:tcW w:w="1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42" w:leader="none"/>
              </w:tabs>
              <w:spacing w:lineRule="auto" w:line="240" w:before="0" w:after="0"/>
              <w:ind w:hanging="0" w:left="33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33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Проведение городского антинаркотического форума для подростков и молодежи «Я выбираю!»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Управление по делам молодежи Исполнительного комитета, МАУ «ЦМ(П)К по месту жительства «Подросток»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проведенных мероприятий,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единиц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12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28,39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26,129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</w:tc>
        <w:tc>
          <w:tcPr>
            <w:tcW w:w="283" w:type="dxa"/>
            <w:tcBorders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подростков и молодежи, принявший участие в форуме, чел.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300</w:t>
            </w:r>
          </w:p>
        </w:tc>
        <w:tc>
          <w:tcPr>
            <w:tcW w:w="1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11.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33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Реализация комплекса профилактических мероприятий «Здоровый принцип»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Управление по делам молодежи Исполнительного комитета,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МАУ «МЦ «Нур»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проведенных мероприятий, единиц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8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8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24,5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747" w:hRule="atLeast"/>
          <w:cantSplit w:val="true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молодежи, принявшей участие в мероприятиях, чел.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90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370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</w:t>
            </w:r>
          </w:p>
        </w:tc>
        <w:tc>
          <w:tcPr>
            <w:tcW w:w="1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142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12.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33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Проведение городского молодежного профилактического проекта «Твоя Территория»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Управление по делам молодежи Исполнительный комитет,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МАУ «МЦ «Нур»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проведенных мероприятий,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единиц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молодежи, принявшей участие в проекте, чел.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662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firstLine="5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</w:t>
            </w:r>
          </w:p>
        </w:tc>
        <w:tc>
          <w:tcPr>
            <w:tcW w:w="1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157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Задача 2.</w:t>
              <w:tab/>
              <w:t>Обеспечение информационно-пропагандистского сопровождения профилактики наркомании среди населения города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142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33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Реализация проекта «Информационно-медийное пространство «СФЕРА»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Управление по делам молодежи Исполнительного комитета,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МБУ «Центр психолого-педагогической помощи детям и молодежи «Диалог»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Количество информационных материалов, единиц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8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8,44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9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15,50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85" w:hRule="atLeast"/>
          <w:cantSplit w:val="true"/>
        </w:trPr>
        <w:tc>
          <w:tcPr>
            <w:tcW w:w="1223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0" w:leader="none"/>
                <w:tab w:val="center" w:pos="6864" w:leader="none"/>
              </w:tabs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Итого: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0" w:leader="none"/>
                <w:tab w:val="center" w:pos="6864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386,84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340,27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371,95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1223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0" w:leader="none"/>
                <w:tab w:val="center" w:pos="6864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1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851" w:left="284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851" w:left="284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Заместитель Руководителя Аппарата,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851" w:left="284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начальник управления делопроизводством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851" w:left="284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Исполнительного комитета</w:t>
        <w:tab/>
        <w:tab/>
        <w:tab/>
        <w:tab/>
        <w:tab/>
        <w:tab/>
        <w:tab/>
        <w:tab/>
        <w:tab/>
        <w:tab/>
        <w:tab/>
        <w:tab/>
        <w:tab/>
        <w:tab/>
        <w:tab/>
        <w:t>Н.И. Галиева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orient="landscape" w:w="16838" w:h="11906"/>
      <w:pgMar w:left="1134" w:right="1134" w:gutter="0" w:header="709" w:top="851" w:footer="709" w:bottom="766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0" w:left="0" w:right="360"/>
      <w:jc w:val="righ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0" w:left="0" w:right="360"/>
      <w:jc w:val="righ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column">
                <wp:posOffset>4603115</wp:posOffset>
              </wp:positionH>
              <wp:positionV relativeFrom="paragraph">
                <wp:posOffset>635</wp:posOffset>
              </wp:positionV>
              <wp:extent cx="45720" cy="111125"/>
              <wp:effectExtent l="0" t="635" r="0" b="0"/>
              <wp:wrapSquare wrapText="bothSides"/>
              <wp:docPr id="1" name="Фигур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1"/>
                            <w:rPr/>
                          </w:pPr>
                          <w:r>
                            <w:rPr>
                              <w:color w:val="000000"/>
                              <w:w w:val="100"/>
                              <w:position w:val="0"/>
                              <w:sz w:val="16"/>
                              <w:sz w:val="16"/>
                              <w:szCs w:val="16"/>
                              <w:effect w:val="none"/>
                              <w:vertAlign w:val="baseline"/>
                              <w:em w:val="none"/>
                            </w:rPr>
                            <w:fldChar w:fldCharType="begin"/>
                          </w:r>
                          <w:r>
                            <w:rPr>
                              <w:vertAlign w:val="baseline"/>
                              <w:position w:val="0"/>
                              <w:sz w:val="16"/>
                              <w:sz w:val="16"/>
                              <w:effect w:val="none"/>
                              <w:szCs w:val="16"/>
                              <w:em w:val="none"/>
                              <w:w w:val="10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vertAlign w:val="baseline"/>
                              <w:position w:val="0"/>
                              <w:sz w:val="16"/>
                              <w:sz w:val="16"/>
                              <w:effect w:val="none"/>
                              <w:szCs w:val="16"/>
                              <w:em w:val="none"/>
                              <w:w w:val="10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vertAlign w:val="baseline"/>
                              <w:position w:val="0"/>
                              <w:sz w:val="16"/>
                              <w:sz w:val="16"/>
                              <w:effect w:val="none"/>
                              <w:szCs w:val="16"/>
                              <w:em w:val="none"/>
                              <w:w w:val="100"/>
                              <w:color w:val="000000"/>
                            </w:rPr>
                            <w:t>2</w:t>
                          </w:r>
                          <w:r>
                            <w:rPr>
                              <w:vertAlign w:val="baseline"/>
                              <w:position w:val="0"/>
                              <w:sz w:val="16"/>
                              <w:sz w:val="16"/>
                              <w:effect w:val="none"/>
                              <w:szCs w:val="16"/>
                              <w:em w:val="none"/>
                              <w:w w:val="10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X</w:t>
                          </w:r>
                        </w:p>
                        <w:p>
                          <w:pPr>
                            <w:pStyle w:val="Style1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1" path="m0,0l-2147483645,0l-2147483645,-2147483646l0,-2147483646xe" fillcolor="white" stroked="f" o:allowincell="f" style="position:absolute;margin-left:362.45pt;margin-top:0.05pt;width:3.55pt;height:8.7pt;mso-wrap-style:square;v-text-anchor:top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Style11"/>
                      <w:rPr/>
                    </w:pPr>
                    <w:r>
                      <w:rPr>
                        <w:color w:val="000000"/>
                        <w:w w:val="100"/>
                        <w:position w:val="0"/>
                        <w:sz w:val="16"/>
                        <w:sz w:val="16"/>
                        <w:szCs w:val="16"/>
                        <w:effect w:val="none"/>
                        <w:vertAlign w:val="baseline"/>
                        <w:em w:val="none"/>
                      </w:rPr>
                      <w:fldChar w:fldCharType="begin"/>
                    </w:r>
                    <w:r>
                      <w:rPr>
                        <w:vertAlign w:val="baseline"/>
                        <w:position w:val="0"/>
                        <w:sz w:val="16"/>
                        <w:sz w:val="16"/>
                        <w:effect w:val="none"/>
                        <w:szCs w:val="16"/>
                        <w:em w:val="none"/>
                        <w:w w:val="100"/>
                        <w:color w:val="000000"/>
                      </w:rPr>
                      <w:instrText xml:space="preserve"> PAGE </w:instrText>
                    </w:r>
                    <w:r>
                      <w:rPr>
                        <w:vertAlign w:val="baseline"/>
                        <w:position w:val="0"/>
                        <w:sz w:val="16"/>
                        <w:sz w:val="16"/>
                        <w:effect w:val="none"/>
                        <w:szCs w:val="16"/>
                        <w:em w:val="none"/>
                        <w:w w:val="100"/>
                        <w:color w:val="000000"/>
                      </w:rPr>
                      <w:fldChar w:fldCharType="separate"/>
                    </w:r>
                    <w:r>
                      <w:rPr>
                        <w:vertAlign w:val="baseline"/>
                        <w:position w:val="0"/>
                        <w:sz w:val="16"/>
                        <w:sz w:val="16"/>
                        <w:effect w:val="none"/>
                        <w:szCs w:val="16"/>
                        <w:em w:val="none"/>
                        <w:w w:val="100"/>
                        <w:color w:val="000000"/>
                      </w:rPr>
                      <w:t>2</w:t>
                    </w:r>
                    <w:r>
                      <w:rPr>
                        <w:vertAlign w:val="baseline"/>
                        <w:position w:val="0"/>
                        <w:sz w:val="16"/>
                        <w:sz w:val="16"/>
                        <w:effect w:val="none"/>
                        <w:szCs w:val="16"/>
                        <w:em w:val="none"/>
                        <w:w w:val="10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X</w:t>
                    </w:r>
                  </w:p>
                  <w:p>
                    <w:pPr>
                      <w:pStyle w:val="Style1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45720" cy="111125"/>
              <wp:effectExtent l="0" t="635" r="0" b="0"/>
              <wp:wrapSquare wrapText="bothSides"/>
              <wp:docPr id="2" name="Фигур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1"/>
                            <w:rPr/>
                          </w:pPr>
                          <w:r>
                            <w:rPr>
                              <w:color w:val="000000"/>
                              <w:w w:val="100"/>
                              <w:position w:val="0"/>
                              <w:sz w:val="16"/>
                              <w:sz w:val="16"/>
                              <w:szCs w:val="16"/>
                              <w:effect w:val="none"/>
                              <w:vertAlign w:val="baseline"/>
                              <w:em w:val="none"/>
                            </w:rPr>
                            <w:fldChar w:fldCharType="begin"/>
                          </w:r>
                          <w:r>
                            <w:rPr>
                              <w:vertAlign w:val="baseline"/>
                              <w:position w:val="0"/>
                              <w:sz w:val="16"/>
                              <w:sz w:val="16"/>
                              <w:effect w:val="none"/>
                              <w:szCs w:val="16"/>
                              <w:em w:val="none"/>
                              <w:w w:val="10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vertAlign w:val="baseline"/>
                              <w:position w:val="0"/>
                              <w:sz w:val="16"/>
                              <w:sz w:val="16"/>
                              <w:effect w:val="none"/>
                              <w:szCs w:val="16"/>
                              <w:em w:val="none"/>
                              <w:w w:val="10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vertAlign w:val="baseline"/>
                              <w:position w:val="0"/>
                              <w:sz w:val="16"/>
                              <w:sz w:val="16"/>
                              <w:effect w:val="none"/>
                              <w:szCs w:val="16"/>
                              <w:em w:val="none"/>
                              <w:w w:val="100"/>
                              <w:color w:val="000000"/>
                            </w:rPr>
                            <w:t>0</w:t>
                          </w:r>
                          <w:r>
                            <w:rPr>
                              <w:vertAlign w:val="baseline"/>
                              <w:position w:val="0"/>
                              <w:sz w:val="16"/>
                              <w:sz w:val="16"/>
                              <w:effect w:val="none"/>
                              <w:szCs w:val="16"/>
                              <w:em w:val="none"/>
                              <w:w w:val="10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X</w:t>
                          </w:r>
                        </w:p>
                        <w:p>
                          <w:pPr>
                            <w:pStyle w:val="Style1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 2" path="m0,0l-2147483645,0l-2147483645,-2147483646l0,-2147483646xe" fillcolor="white" stroked="f" o:allowincell="f" style="position:absolute;margin-left:0pt;margin-top:0.05pt;width:3.55pt;height:8.7pt;mso-wrap-style:square;v-text-anchor:top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Style11"/>
                      <w:rPr/>
                    </w:pPr>
                    <w:r>
                      <w:rPr>
                        <w:color w:val="000000"/>
                        <w:w w:val="100"/>
                        <w:position w:val="0"/>
                        <w:sz w:val="16"/>
                        <w:sz w:val="16"/>
                        <w:szCs w:val="16"/>
                        <w:effect w:val="none"/>
                        <w:vertAlign w:val="baseline"/>
                        <w:em w:val="none"/>
                      </w:rPr>
                      <w:fldChar w:fldCharType="begin"/>
                    </w:r>
                    <w:r>
                      <w:rPr>
                        <w:vertAlign w:val="baseline"/>
                        <w:position w:val="0"/>
                        <w:sz w:val="16"/>
                        <w:sz w:val="16"/>
                        <w:effect w:val="none"/>
                        <w:szCs w:val="16"/>
                        <w:em w:val="none"/>
                        <w:w w:val="100"/>
                        <w:color w:val="000000"/>
                      </w:rPr>
                      <w:instrText xml:space="preserve"> PAGE </w:instrText>
                    </w:r>
                    <w:r>
                      <w:rPr>
                        <w:vertAlign w:val="baseline"/>
                        <w:position w:val="0"/>
                        <w:sz w:val="16"/>
                        <w:sz w:val="16"/>
                        <w:effect w:val="none"/>
                        <w:szCs w:val="16"/>
                        <w:em w:val="none"/>
                        <w:w w:val="100"/>
                        <w:color w:val="000000"/>
                      </w:rPr>
                      <w:fldChar w:fldCharType="separate"/>
                    </w:r>
                    <w:r>
                      <w:rPr>
                        <w:vertAlign w:val="baseline"/>
                        <w:position w:val="0"/>
                        <w:sz w:val="16"/>
                        <w:sz w:val="16"/>
                        <w:effect w:val="none"/>
                        <w:szCs w:val="16"/>
                        <w:em w:val="none"/>
                        <w:w w:val="100"/>
                        <w:color w:val="000000"/>
                      </w:rPr>
                      <w:t>0</w:t>
                    </w:r>
                    <w:r>
                      <w:rPr>
                        <w:vertAlign w:val="baseline"/>
                        <w:position w:val="0"/>
                        <w:sz w:val="16"/>
                        <w:sz w:val="16"/>
                        <w:effect w:val="none"/>
                        <w:szCs w:val="16"/>
                        <w:em w:val="none"/>
                        <w:w w:val="10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X</w:t>
                    </w:r>
                  </w:p>
                  <w:p>
                    <w:pPr>
                      <w:pStyle w:val="Style1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4603115</wp:posOffset>
              </wp:positionH>
              <wp:positionV relativeFrom="paragraph">
                <wp:posOffset>635</wp:posOffset>
              </wp:positionV>
              <wp:extent cx="45720" cy="111125"/>
              <wp:effectExtent l="0" t="635" r="0" b="0"/>
              <wp:wrapSquare wrapText="bothSides"/>
              <wp:docPr id="3" name="Фигур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1"/>
                            <w:rPr/>
                          </w:pPr>
                          <w:r>
                            <w:rPr>
                              <w:color w:val="000000"/>
                              <w:w w:val="100"/>
                              <w:position w:val="0"/>
                              <w:sz w:val="16"/>
                              <w:sz w:val="16"/>
                              <w:szCs w:val="16"/>
                              <w:effect w:val="none"/>
                              <w:vertAlign w:val="baseline"/>
                              <w:em w:val="none"/>
                            </w:rPr>
                            <w:fldChar w:fldCharType="begin"/>
                          </w:r>
                          <w:r>
                            <w:rPr>
                              <w:vertAlign w:val="baseline"/>
                              <w:position w:val="0"/>
                              <w:sz w:val="16"/>
                              <w:sz w:val="16"/>
                              <w:effect w:val="none"/>
                              <w:szCs w:val="16"/>
                              <w:em w:val="none"/>
                              <w:w w:val="10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vertAlign w:val="baseline"/>
                              <w:position w:val="0"/>
                              <w:sz w:val="16"/>
                              <w:sz w:val="16"/>
                              <w:effect w:val="none"/>
                              <w:szCs w:val="16"/>
                              <w:em w:val="none"/>
                              <w:w w:val="10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vertAlign w:val="baseline"/>
                              <w:position w:val="0"/>
                              <w:sz w:val="16"/>
                              <w:sz w:val="16"/>
                              <w:effect w:val="none"/>
                              <w:szCs w:val="16"/>
                              <w:em w:val="none"/>
                              <w:w w:val="100"/>
                              <w:color w:val="000000"/>
                            </w:rPr>
                            <w:t>8</w:t>
                          </w:r>
                          <w:r>
                            <w:rPr>
                              <w:vertAlign w:val="baseline"/>
                              <w:position w:val="0"/>
                              <w:sz w:val="16"/>
                              <w:sz w:val="16"/>
                              <w:effect w:val="none"/>
                              <w:szCs w:val="16"/>
                              <w:em w:val="none"/>
                              <w:w w:val="10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X</w:t>
                          </w:r>
                        </w:p>
                        <w:p>
                          <w:pPr>
                            <w:pStyle w:val="Style1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2" path="m0,0l-2147483645,0l-2147483645,-2147483646l0,-2147483646xe" fillcolor="white" stroked="f" o:allowincell="f" style="position:absolute;margin-left:362.45pt;margin-top:0.05pt;width:3.55pt;height:8.7pt;mso-wrap-style:square;v-text-anchor:top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Style11"/>
                      <w:rPr/>
                    </w:pPr>
                    <w:r>
                      <w:rPr>
                        <w:color w:val="000000"/>
                        <w:w w:val="100"/>
                        <w:position w:val="0"/>
                        <w:sz w:val="16"/>
                        <w:sz w:val="16"/>
                        <w:szCs w:val="16"/>
                        <w:effect w:val="none"/>
                        <w:vertAlign w:val="baseline"/>
                        <w:em w:val="none"/>
                      </w:rPr>
                      <w:fldChar w:fldCharType="begin"/>
                    </w:r>
                    <w:r>
                      <w:rPr>
                        <w:vertAlign w:val="baseline"/>
                        <w:position w:val="0"/>
                        <w:sz w:val="16"/>
                        <w:sz w:val="16"/>
                        <w:effect w:val="none"/>
                        <w:szCs w:val="16"/>
                        <w:em w:val="none"/>
                        <w:w w:val="100"/>
                        <w:color w:val="000000"/>
                      </w:rPr>
                      <w:instrText xml:space="preserve"> PAGE </w:instrText>
                    </w:r>
                    <w:r>
                      <w:rPr>
                        <w:vertAlign w:val="baseline"/>
                        <w:position w:val="0"/>
                        <w:sz w:val="16"/>
                        <w:sz w:val="16"/>
                        <w:effect w:val="none"/>
                        <w:szCs w:val="16"/>
                        <w:em w:val="none"/>
                        <w:w w:val="100"/>
                        <w:color w:val="000000"/>
                      </w:rPr>
                      <w:fldChar w:fldCharType="separate"/>
                    </w:r>
                    <w:r>
                      <w:rPr>
                        <w:vertAlign w:val="baseline"/>
                        <w:position w:val="0"/>
                        <w:sz w:val="16"/>
                        <w:sz w:val="16"/>
                        <w:effect w:val="none"/>
                        <w:szCs w:val="16"/>
                        <w:em w:val="none"/>
                        <w:w w:val="100"/>
                        <w:color w:val="000000"/>
                      </w:rPr>
                      <w:t>8</w:t>
                    </w:r>
                    <w:r>
                      <w:rPr>
                        <w:vertAlign w:val="baseline"/>
                        <w:position w:val="0"/>
                        <w:sz w:val="16"/>
                        <w:sz w:val="16"/>
                        <w:effect w:val="none"/>
                        <w:szCs w:val="16"/>
                        <w:em w:val="none"/>
                        <w:w w:val="10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X</w:t>
                    </w:r>
                  </w:p>
                  <w:p>
                    <w:pPr>
                      <w:pStyle w:val="Style1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0"/>
        <w:sz w:val="20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0">
    <w:name w:val="Колонтитул"/>
    <w:basedOn w:val="Normal"/>
    <w:qFormat/>
    <w:pPr/>
    <w:rPr/>
  </w:style>
  <w:style w:type="paragraph" w:styleId="Header">
    <w:name w:val="Header"/>
    <w:basedOn w:val="Style10"/>
    <w:pPr/>
    <w:rPr/>
  </w:style>
  <w:style w:type="paragraph" w:styleId="Style11">
    <w:name w:val="Содержимое врезки"/>
    <w:basedOn w:val="Normal"/>
    <w:qFormat/>
    <w:pPr/>
    <w:rPr/>
  </w:style>
  <w:style w:type="paragraph" w:styleId="Footer">
    <w:name w:val="Foot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</TotalTime>
  <Application>LibreOffice/7.6.7.2$Linux_X86_64 LibreOffice_project/60$Build-2</Application>
  <AppVersion>15.0000</AppVersion>
  <Pages>8</Pages>
  <Words>1195</Words>
  <Characters>7985</Characters>
  <CharactersWithSpaces>8899</CharactersWithSpaces>
  <Paragraphs>353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2025-10-28T10:20:28Z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