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settings.xml" ContentType="application/vnd.openxmlformats-officedocument.wordprocessingml.settings+xml"/>
  <Override PartName="/word/footer7.xml" ContentType="application/vnd.openxmlformats-officedocument.wordprocessingml.footer+xml"/>
  <Override PartName="/word/fontTable.xml" ContentType="application/vnd.openxmlformats-officedocument.wordprocessingml.fontTable+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sz w:val="28"/>
          <w:szCs w:val="28"/>
          <w:lang w:eastAsia="en-US"/>
        </w:rPr>
      </w:pPr>
      <w:r>
        <w:rPr>
          <w:sz w:val="28"/>
          <w:szCs w:val="28"/>
          <w:lang w:eastAsia="en-US"/>
        </w:rPr>
        <w:t xml:space="preserve"> </w:t>
      </w:r>
    </w:p>
    <w:p>
      <w:pPr>
        <w:pStyle w:val="Normal"/>
        <w:spacing w:lineRule="auto" w:line="276"/>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Проект постановления</w:t>
      </w:r>
    </w:p>
    <w:p>
      <w:pPr>
        <w:pStyle w:val="Normal"/>
        <w:spacing w:lineRule="auto" w:line="276"/>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Исполнительного комитета муниципального</w:t>
      </w:r>
    </w:p>
    <w:p>
      <w:pPr>
        <w:pStyle w:val="Normal"/>
        <w:spacing w:lineRule="auto" w:line="276"/>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образования город Набережные Челны</w:t>
      </w:r>
    </w:p>
    <w:p>
      <w:pPr>
        <w:pStyle w:val="Normal"/>
        <w:spacing w:lineRule="auto" w:line="276"/>
        <w:jc w:val="center"/>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spacing w:lineRule="auto" w:line="276"/>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Об утверждении муниципальной программы </w:t>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«Повышение безопасности дорожного движения </w:t>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в муниципальном образовании город Набережные</w:t>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Челны на 2026-2028 годы»</w:t>
      </w:r>
    </w:p>
    <w:p>
      <w:pPr>
        <w:pStyle w:val="Normal"/>
        <w:spacing w:lineRule="auto" w:line="276"/>
        <w:jc w:val="both"/>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spacing w:lineRule="auto" w:line="276" w:before="0" w:after="0"/>
        <w:ind w:firstLine="709"/>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В целях повышения безопасности дорожного движения в муниципальном образовании город Набережные Челны,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статьей 16 Федерального закона от 06.10.2003 № 131-ФЗ «Об общих принципах организации местного самоуправления в Российской Федерации», Федеральным законом от 20.03.2025 N 33-ФЗ «Об общих принципах организации местного самоуправления в единой системе публичной власти», Указом Президента Республики Татарстан от 06.12.2014 № УП-1115 «О мерах по обеспечению безопасности дорожного движения в Республике Татарстан», статьей 41 Устава города, Порядком разработки, реализации и оценки эффективности муниципальных программ, утвержденным постановлением Исполнительного комитета от 11.09.2017 № 5326</w:t>
      </w:r>
    </w:p>
    <w:p>
      <w:pPr>
        <w:pStyle w:val="Normal"/>
        <w:spacing w:lineRule="auto" w:line="276" w:before="0" w:after="0"/>
        <w:ind w:firstLine="709"/>
        <w:contextualSpacing/>
        <w:jc w:val="both"/>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spacing w:lineRule="auto" w:line="276"/>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П О С Т А Н О В Л Я Ю:</w:t>
      </w:r>
    </w:p>
    <w:p>
      <w:pPr>
        <w:pStyle w:val="Normal"/>
        <w:spacing w:lineRule="auto" w:line="276" w:before="0" w:after="0"/>
        <w:contextualSpacing/>
        <w:jc w:val="both"/>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spacing w:lineRule="auto" w:line="276"/>
        <w:ind w:firstLine="709"/>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1. Утвердить муниципальную программу «Повышение безопасности дорожного движения в муниципальном образовании город Набережные Челны на 2026-2028 годы» (далее - муниципальная программа) согласно приложению.</w:t>
      </w:r>
    </w:p>
    <w:p>
      <w:pPr>
        <w:pStyle w:val="ListParagraph"/>
        <w:spacing w:lineRule="auto" w:line="276" w:before="0" w:after="0"/>
        <w:ind w:left="0" w:firstLine="709"/>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2. Управлению финансов Исполнительного комитета обеспечить финансирование мероприятий по реализации муниципальной программы за счет средств, предусмотренных в бюджете муниципального образования город Набережные Челны по разделам (подразделам) 0409 «Дорожное хозяйство (дорожные фонды)» в размере 1 915 291,2 тыс. рублей: 2026 год – 638 430,4 тыс. рублей, 2027 год – 638 430,4 тыс. рублей, 2028 год – 638 430,4 тыс. рублей.</w:t>
      </w:r>
    </w:p>
    <w:p>
      <w:pPr>
        <w:pStyle w:val="Normal"/>
        <w:spacing w:lineRule="auto" w:line="276" w:before="0" w:after="0"/>
        <w:ind w:firstLine="709"/>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3.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(http://pravo.</w:t>
      </w:r>
      <w:r>
        <w:rPr>
          <w:rFonts w:ascii="PT Astra Serif" w:hAnsi="PT Astra Serif"/>
          <w:b w:val="false"/>
          <w:bCs w:val="false"/>
          <w:i w:val="false"/>
          <w:iCs w:val="false"/>
          <w:sz w:val="28"/>
          <w:szCs w:val="28"/>
          <w:lang w:val="en-US" w:eastAsia="en-US"/>
        </w:rPr>
        <w:t>tatarstan</w:t>
      </w:r>
      <w:r>
        <w:rPr>
          <w:rFonts w:ascii="PT Astra Serif" w:hAnsi="PT Astra Serif"/>
          <w:b w:val="false"/>
          <w:bCs w:val="false"/>
          <w:i w:val="false"/>
          <w:iCs w:val="false"/>
          <w:sz w:val="28"/>
          <w:szCs w:val="28"/>
          <w:lang w:eastAsia="en-US"/>
        </w:rPr>
        <w:t>.</w:t>
      </w:r>
      <w:r>
        <w:rPr>
          <w:rFonts w:ascii="PT Astra Serif" w:hAnsi="PT Astra Serif"/>
          <w:b w:val="false"/>
          <w:bCs w:val="false"/>
          <w:i w:val="false"/>
          <w:iCs w:val="false"/>
          <w:sz w:val="28"/>
          <w:szCs w:val="28"/>
          <w:lang w:val="en-US" w:eastAsia="en-US"/>
        </w:rPr>
        <w:t>ru</w:t>
      </w:r>
      <w:r>
        <w:rPr>
          <w:rFonts w:ascii="PT Astra Serif" w:hAnsi="PT Astra Serif"/>
          <w:b w:val="false"/>
          <w:bCs w:val="false"/>
          <w:i w:val="false"/>
          <w:iCs w:val="false"/>
          <w:sz w:val="28"/>
          <w:szCs w:val="28"/>
          <w:lang w:eastAsia="en-US"/>
        </w:rPr>
        <w:t>) и на официальном сайте города Набережные Челны.</w:t>
      </w:r>
    </w:p>
    <w:p>
      <w:pPr>
        <w:pStyle w:val="Normal"/>
        <w:spacing w:lineRule="auto" w:line="276" w:before="0" w:after="0"/>
        <w:ind w:firstLine="709"/>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76"/>
        <w:jc w:val="both"/>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spacing w:lineRule="auto" w:line="276"/>
        <w:jc w:val="both"/>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p>
      <w:pPr>
        <w:pStyle w:val="Normal"/>
        <w:tabs>
          <w:tab w:val="clear" w:pos="708"/>
          <w:tab w:val="left" w:pos="8340" w:leader="none"/>
        </w:tabs>
        <w:spacing w:lineRule="auto" w:line="276" w:before="0" w:after="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Руководитель</w:t>
      </w:r>
    </w:p>
    <w:p>
      <w:pPr>
        <w:pStyle w:val="Normal"/>
        <w:tabs>
          <w:tab w:val="clear" w:pos="708"/>
          <w:tab w:val="left" w:pos="8340" w:leader="none"/>
        </w:tabs>
        <w:spacing w:lineRule="auto" w:line="276" w:before="0" w:after="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Исполнительного комитета                                                          Ф.Ш. Салахов</w:t>
      </w:r>
    </w:p>
    <w:p>
      <w:pPr>
        <w:pStyle w:val="Normal"/>
        <w:tabs>
          <w:tab w:val="clear" w:pos="708"/>
          <w:tab w:val="left" w:pos="8340" w:leader="none"/>
        </w:tabs>
        <w:spacing w:lineRule="auto" w:line="276" w:before="0" w:after="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tabs>
          <w:tab w:val="clear" w:pos="708"/>
          <w:tab w:val="left" w:pos="8340" w:leader="none"/>
        </w:tabs>
        <w:spacing w:lineRule="auto" w:line="276" w:before="0" w:after="0"/>
        <w:ind w:firstLine="6379"/>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ind w:left="6946" w:hanging="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Приложение к постановлению</w:t>
      </w:r>
    </w:p>
    <w:p>
      <w:pPr>
        <w:pStyle w:val="Normal"/>
        <w:ind w:left="6946" w:hanging="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Исполнительного комитета</w:t>
      </w:r>
    </w:p>
    <w:p>
      <w:pPr>
        <w:pStyle w:val="Normal"/>
        <w:ind w:left="6946" w:hanging="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t>«___»_________2025 №_____</w:t>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jc w:val="center"/>
        <w:rPr/>
      </w:pPr>
      <w:r>
        <w:rPr>
          <w:rFonts w:ascii="PT Astra Serif" w:hAnsi="PT Astra Serif"/>
          <w:b w:val="false"/>
          <w:bCs w:val="false"/>
          <w:i w:val="false"/>
          <w:iCs w:val="false"/>
          <w:sz w:val="28"/>
          <w:szCs w:val="28"/>
        </w:rPr>
        <w:t>Муниципальная программа</w:t>
      </w:r>
    </w:p>
    <w:p>
      <w:pPr>
        <w:pStyle w:val="Normal"/>
        <w:jc w:val="center"/>
        <w:rPr/>
      </w:pPr>
      <w:r>
        <w:rPr>
          <w:rFonts w:ascii="PT Astra Serif" w:hAnsi="PT Astra Serif"/>
          <w:b w:val="false"/>
          <w:bCs w:val="false"/>
          <w:i w:val="false"/>
          <w:iCs w:val="false"/>
          <w:sz w:val="28"/>
          <w:szCs w:val="28"/>
        </w:rPr>
        <w:t xml:space="preserve">«Повышение безопасности дорожного движения в муниципальном образовании город Набережные </w:t>
      </w:r>
      <w:r>
        <w:rPr>
          <w:rFonts w:ascii="PT Astra Serif" w:hAnsi="PT Astra Serif"/>
          <w:b w:val="false"/>
          <w:bCs w:val="false"/>
          <w:i w:val="false"/>
          <w:iCs w:val="false"/>
          <w:sz w:val="28"/>
          <w:szCs w:val="28"/>
          <w:lang w:eastAsia="en-US"/>
        </w:rPr>
        <w:t>Челны на 2026-2028 годы»</w:t>
      </w:r>
    </w:p>
    <w:p>
      <w:pPr>
        <w:pStyle w:val="Normal"/>
        <w:jc w:val="center"/>
        <w:rPr/>
      </w:pPr>
      <w:r>
        <w:rPr/>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Глава 1. Паспорт </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муниципальной программы </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«Повышение безопасности дорожного движения в муниципальном образовании город Набережные Челны </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на 2026-2028 годы»</w:t>
      </w:r>
    </w:p>
    <w:p>
      <w:pPr>
        <w:pStyle w:val="Normal"/>
        <w:rPr/>
      </w:pPr>
      <w:r>
        <w:rPr/>
      </w:r>
    </w:p>
    <w:tbl>
      <w:tblPr>
        <w:tblpPr w:vertAnchor="text" w:horzAnchor="text" w:leftFromText="180" w:rightFromText="180" w:tblpX="0" w:tblpY="1"/>
        <w:tblW w:w="9493"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3179"/>
        <w:gridCol w:w="1277"/>
        <w:gridCol w:w="1629"/>
        <w:gridCol w:w="1565"/>
        <w:gridCol w:w="1843"/>
      </w:tblGrid>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Наименование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 xml:space="preserve">«Повышение безопасности дорожного движения </w:t>
            </w:r>
          </w:p>
          <w:p>
            <w:pPr>
              <w:pStyle w:val="Normal"/>
              <w:widowControl w:val="false"/>
              <w:jc w:val="both"/>
              <w:rPr>
                <w:sz w:val="28"/>
                <w:szCs w:val="28"/>
              </w:rPr>
            </w:pPr>
            <w:r>
              <w:rPr>
                <w:rFonts w:ascii="PT Astra Serif" w:hAnsi="PT Astra Serif"/>
                <w:b w:val="false"/>
                <w:bCs w:val="false"/>
                <w:i w:val="false"/>
                <w:iCs w:val="false"/>
                <w:sz w:val="28"/>
                <w:szCs w:val="28"/>
              </w:rPr>
              <w:t>в муниципальном образовании город Набережные Челны на 2026-2028 годы» (далее – муниципальная программа)</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Основание для разработки муниципальной программы (наименование, номер и дата правового акта)</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color w:val="000000" w:themeColor="text1"/>
                <w:sz w:val="28"/>
                <w:szCs w:val="28"/>
              </w:rPr>
              <w:t>1.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color w:val="000000" w:themeColor="text1"/>
                <w:sz w:val="28"/>
                <w:szCs w:val="28"/>
              </w:rPr>
              <w:t>2. Федеральный закон от 06.10.2003 № 131-ФЗ «Об общих принципах организации местного самоуправления в Российской Федерации».</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color w:val="000000" w:themeColor="text1"/>
                <w:sz w:val="28"/>
                <w:szCs w:val="28"/>
              </w:rPr>
              <w:t xml:space="preserve">3. </w:t>
            </w:r>
            <w:r>
              <w:rPr>
                <w:rFonts w:ascii="PT Astra Serif" w:hAnsi="PT Astra Serif"/>
                <w:b w:val="false"/>
                <w:bCs w:val="false"/>
                <w:i w:val="false"/>
                <w:iCs w:val="false"/>
                <w:color w:val="000000" w:themeColor="text1"/>
                <w:sz w:val="28"/>
                <w:szCs w:val="28"/>
                <w:lang w:eastAsia="en-US"/>
              </w:rPr>
              <w:t>Федеральный закон от 20.03.2025 N 33-ФЗ "Об общих принципах организации местного самоуправления в единой системе публичной власти";</w:t>
            </w:r>
          </w:p>
          <w:p>
            <w:pPr>
              <w:pStyle w:val="ListParagraph"/>
              <w:widowControl w:val="false"/>
              <w:ind w:left="0" w:hanging="0"/>
              <w:jc w:val="both"/>
              <w:rPr>
                <w:sz w:val="28"/>
                <w:szCs w:val="28"/>
              </w:rPr>
            </w:pPr>
            <w:r>
              <w:rPr>
                <w:rFonts w:ascii="PT Astra Serif" w:hAnsi="PT Astra Serif"/>
                <w:b w:val="false"/>
                <w:bCs w:val="false"/>
                <w:i w:val="false"/>
                <w:iCs w:val="false"/>
                <w:color w:val="000000" w:themeColor="text1"/>
                <w:sz w:val="28"/>
                <w:szCs w:val="28"/>
                <w:lang w:eastAsia="en-US"/>
              </w:rPr>
              <w:t>4. Федеральный закон от 08.11.2007 № 259-ФЗ «Устав автомобильного транспорта и городского наземного электрического транспорта»;</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color w:val="000000" w:themeColor="text1"/>
                <w:sz w:val="28"/>
                <w:szCs w:val="28"/>
              </w:rPr>
              <w:t>5. Указ Президента Республики Татарстан от 06.12.2014 № УП-1115 «О мерах по обеспечению безопасности дорожного движения в Республике Татарстан»;</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color w:val="000000" w:themeColor="text1"/>
                <w:sz w:val="28"/>
                <w:szCs w:val="28"/>
              </w:rPr>
              <w:t>6. Устав муниципального образования город Набережные Челны от 08.12.2005 № 6/5</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Разработчик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управление городского хозяйства и жизнеобеспечения населения Исполнительного комитета</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Исполнители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1) управление городского хозяйства и жизнеобеспечения населения Исполнительного комитета;</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2) управление образования Исполнительного комитета;</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3) УМВД России по городу Набережные Челны (по согласованию);</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4) управление информационной политики и по связям с общественностью Исполнительного комитета;</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5) управление финансов Исполнительного комитета</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Цели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ind w:left="708" w:hanging="0"/>
              <w:jc w:val="both"/>
              <w:rPr>
                <w:sz w:val="28"/>
                <w:szCs w:val="28"/>
              </w:rPr>
            </w:pPr>
            <w:r>
              <w:rPr>
                <w:rFonts w:ascii="PT Astra Serif" w:hAnsi="PT Astra Serif"/>
                <w:b w:val="false"/>
                <w:bCs w:val="false"/>
                <w:i w:val="false"/>
                <w:iCs w:val="false"/>
                <w:sz w:val="28"/>
                <w:szCs w:val="28"/>
              </w:rPr>
              <w:t>1) сокращение количества погибших в результате дорожно - транспортных происшествий (далее -ДТП), в том числе детей на 17,5 процентов;</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2) сокращение ДТП с участием общественного пассажирского транспорта на 25 процентов;</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3) поддержание нормативного технического состояния улично-дорожной сети (далее – УДС) на достигнутых уровнях</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Задачи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1) 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2) повышение культуры вождения;</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3) ликвидация мест концентрации ДТП;</w:t>
            </w:r>
          </w:p>
          <w:p>
            <w:pPr>
              <w:pStyle w:val="ListParagraph"/>
              <w:widowControl w:val="false"/>
              <w:numPr>
                <w:ilvl w:val="0"/>
                <w:numId w:val="0"/>
              </w:numPr>
              <w:ind w:left="0" w:hanging="0"/>
              <w:jc w:val="both"/>
              <w:rPr>
                <w:sz w:val="28"/>
                <w:szCs w:val="28"/>
              </w:rPr>
            </w:pPr>
            <w:r>
              <w:rPr>
                <w:rFonts w:ascii="PT Astra Serif" w:hAnsi="PT Astra Serif"/>
                <w:b w:val="false"/>
                <w:bCs w:val="false"/>
                <w:i w:val="false"/>
                <w:iCs w:val="false"/>
                <w:sz w:val="28"/>
                <w:szCs w:val="28"/>
              </w:rPr>
              <w:t>4)поддержание нормативного технического состояния УДС</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Сроки и этапы реализации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 xml:space="preserve">муниципальная программа рассчитана на 2026, 2027, 2028 годы </w:t>
            </w:r>
          </w:p>
          <w:p>
            <w:pPr>
              <w:pStyle w:val="Normal"/>
              <w:widowControl w:val="false"/>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r>
      <w:tr>
        <w:trPr>
          <w:trHeight w:val="160" w:hRule="atLeast"/>
        </w:trPr>
        <w:tc>
          <w:tcPr>
            <w:tcW w:w="317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8"/>
                <w:szCs w:val="28"/>
              </w:rPr>
            </w:pPr>
            <w:r>
              <w:rPr>
                <w:rFonts w:ascii="PT Astra Serif" w:hAnsi="PT Astra Serif"/>
                <w:b w:val="false"/>
                <w:bCs w:val="false"/>
                <w:i w:val="false"/>
                <w:iCs w:val="false"/>
                <w:sz w:val="28"/>
                <w:szCs w:val="28"/>
              </w:rPr>
              <w:t>Объемы и источники финансирования муниципальной программы с разбивкой по годам</w:t>
            </w: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Источники финансирования</w:t>
            </w:r>
          </w:p>
        </w:tc>
        <w:tc>
          <w:tcPr>
            <w:tcW w:w="503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PT Astra Serif" w:hAnsi="PT Astra Serif"/>
                <w:b w:val="false"/>
                <w:bCs w:val="false"/>
                <w:i w:val="false"/>
                <w:iCs w:val="false"/>
                <w:sz w:val="28"/>
                <w:szCs w:val="28"/>
              </w:rPr>
              <w:t>Годы реализации муниципальной программы</w:t>
            </w:r>
          </w:p>
        </w:tc>
      </w:tr>
      <w:tr>
        <w:trPr>
          <w:trHeight w:val="160" w:hRule="atLeast"/>
        </w:trPr>
        <w:tc>
          <w:tcPr>
            <w:tcW w:w="31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16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PT Astra Serif" w:hAnsi="PT Astra Serif"/>
                <w:b w:val="false"/>
                <w:bCs w:val="false"/>
                <w:i w:val="false"/>
                <w:iCs w:val="false"/>
                <w:sz w:val="28"/>
                <w:szCs w:val="28"/>
              </w:rPr>
              <w:t>2026</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PT Astra Serif" w:hAnsi="PT Astra Serif"/>
                <w:b w:val="false"/>
                <w:bCs w:val="false"/>
                <w:i w:val="false"/>
                <w:iCs w:val="false"/>
                <w:sz w:val="28"/>
                <w:szCs w:val="28"/>
              </w:rPr>
              <w:t>2027</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PT Astra Serif" w:hAnsi="PT Astra Serif"/>
                <w:b w:val="false"/>
                <w:bCs w:val="false"/>
                <w:i w:val="false"/>
                <w:iCs w:val="false"/>
                <w:sz w:val="28"/>
                <w:szCs w:val="28"/>
              </w:rPr>
              <w:t>2028</w:t>
            </w:r>
          </w:p>
        </w:tc>
      </w:tr>
      <w:tr>
        <w:trPr>
          <w:trHeight w:val="160" w:hRule="atLeast"/>
        </w:trPr>
        <w:tc>
          <w:tcPr>
            <w:tcW w:w="317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Муниципальный бюджет</w:t>
            </w:r>
          </w:p>
        </w:tc>
        <w:tc>
          <w:tcPr>
            <w:tcW w:w="162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76" w:before="0" w:after="0"/>
              <w:ind w:left="0" w:hanging="0"/>
              <w:contextualSpacing/>
              <w:jc w:val="center"/>
              <w:rPr>
                <w:sz w:val="28"/>
                <w:szCs w:val="28"/>
              </w:rPr>
            </w:pPr>
            <w:r>
              <w:rPr>
                <w:rFonts w:ascii="PT Astra Serif" w:hAnsi="PT Astra Serif"/>
                <w:b w:val="false"/>
                <w:bCs w:val="false"/>
                <w:i w:val="false"/>
                <w:iCs w:val="false"/>
                <w:color w:val="000000"/>
                <w:sz w:val="28"/>
                <w:szCs w:val="28"/>
                <w:shd w:fill="FFFFFF" w:val="clear"/>
                <w:lang w:eastAsia="en-US"/>
              </w:rPr>
              <w:t>638 430,4</w:t>
            </w:r>
          </w:p>
          <w:p>
            <w:pPr>
              <w:pStyle w:val="Normal"/>
              <w:widowControl w:val="false"/>
              <w:jc w:val="center"/>
              <w:rPr>
                <w:sz w:val="28"/>
                <w:szCs w:val="28"/>
              </w:rPr>
            </w:pPr>
            <w:r>
              <w:rPr>
                <w:rFonts w:ascii="PT Astra Serif" w:hAnsi="PT Astra Serif"/>
                <w:b w:val="false"/>
                <w:bCs w:val="false"/>
                <w:i w:val="false"/>
                <w:iCs w:val="false"/>
                <w:color w:val="000000"/>
                <w:sz w:val="28"/>
                <w:szCs w:val="28"/>
                <w:shd w:fill="FFFFFF" w:val="clear"/>
              </w:rPr>
              <w:t>тыс.рублей</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PT Astra Serif" w:hAnsi="PT Astra Serif"/>
                <w:b w:val="false"/>
                <w:bCs w:val="false"/>
                <w:i w:val="false"/>
                <w:iCs w:val="false"/>
                <w:color w:val="000000"/>
                <w:sz w:val="28"/>
                <w:szCs w:val="28"/>
                <w:shd w:fill="FFFFFF" w:val="clear"/>
                <w:lang w:eastAsia="en-US"/>
              </w:rPr>
              <w:t>638 430,4</w:t>
            </w:r>
            <w:r>
              <w:rPr>
                <w:rFonts w:ascii="PT Astra Serif" w:hAnsi="PT Astra Serif"/>
                <w:b w:val="false"/>
                <w:bCs w:val="false"/>
                <w:i w:val="false"/>
                <w:iCs w:val="false"/>
                <w:color w:val="000000" w:themeColor="text1"/>
                <w:sz w:val="28"/>
                <w:szCs w:val="28"/>
                <w:shd w:fill="FFFFFF" w:val="clear"/>
              </w:rPr>
              <w:t xml:space="preserve"> тыс.рублей</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PT Astra Serif" w:hAnsi="PT Astra Serif"/>
                <w:b w:val="false"/>
                <w:bCs w:val="false"/>
                <w:i w:val="false"/>
                <w:iCs w:val="false"/>
                <w:color w:val="000000"/>
                <w:sz w:val="28"/>
                <w:szCs w:val="28"/>
                <w:shd w:fill="FFFFFF" w:val="clear"/>
                <w:lang w:eastAsia="en-US"/>
              </w:rPr>
              <w:t>638 430,4</w:t>
            </w:r>
            <w:r>
              <w:rPr>
                <w:rFonts w:ascii="PT Astra Serif" w:hAnsi="PT Astra Serif"/>
                <w:b w:val="false"/>
                <w:bCs w:val="false"/>
                <w:i w:val="false"/>
                <w:iCs w:val="false"/>
                <w:color w:val="000000" w:themeColor="text1"/>
                <w:sz w:val="28"/>
                <w:szCs w:val="28"/>
                <w:shd w:fill="FFFFFF" w:val="clear"/>
              </w:rPr>
              <w:t xml:space="preserve"> тыс.рублей</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Ожидаемые результаты реализации муниципальной программы и показатели эффективности</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сокращение на период 2026-2028 гг. количества лиц, погибших в результате ДТП на 25 процентов, количества ДТП с пострадавшими на 10 процентов по сравнению с аналогичным периодом прошлого года (далее - АППГ)</w:t>
            </w:r>
          </w:p>
        </w:tc>
      </w:tr>
      <w:tr>
        <w:trPr/>
        <w:tc>
          <w:tcPr>
            <w:tcW w:w="3179"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rFonts w:ascii="PT Astra Serif" w:hAnsi="PT Astra Serif"/>
                <w:b w:val="false"/>
                <w:bCs w:val="false"/>
                <w:i w:val="false"/>
                <w:iCs w:val="false"/>
                <w:sz w:val="28"/>
                <w:szCs w:val="28"/>
              </w:rPr>
              <w:t>Контроль за реализацией муниципальной программы</w:t>
            </w:r>
          </w:p>
        </w:tc>
        <w:tc>
          <w:tcPr>
            <w:tcW w:w="631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rFonts w:ascii="PT Astra Serif" w:hAnsi="PT Astra Serif"/>
                <w:b w:val="false"/>
                <w:bCs w:val="false"/>
                <w:i w:val="false"/>
                <w:iCs w:val="false"/>
                <w:sz w:val="28"/>
                <w:szCs w:val="28"/>
              </w:rPr>
              <w:t>управление городского хозяйства и жизнеобеспечения населения Исполнительного комитета</w:t>
            </w:r>
          </w:p>
          <w:p>
            <w:pPr>
              <w:pStyle w:val="Normal"/>
              <w:widowControl w:val="false"/>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r>
    </w:tbl>
    <w:p>
      <w:pPr>
        <w:pStyle w:val="Normal"/>
        <w:jc w:val="center"/>
        <w:rPr>
          <w:rFonts w:ascii="PT Astra Serif" w:hAnsi="PT Astra Serif"/>
          <w:b w:val="false"/>
          <w:bCs w:val="false"/>
          <w:i w:val="false"/>
          <w:i w:val="false"/>
          <w:iCs w:val="false"/>
          <w:sz w:val="28"/>
          <w:szCs w:val="28"/>
        </w:rPr>
      </w:pPr>
      <w:r/>
      <w:r>
        <w:rPr/>
        <w:br w:type="textWrapping" w:clear="all"/>
      </w:r>
      <w:r>
        <w:rPr>
          <w:rFonts w:ascii="PT Astra Serif" w:hAnsi="PT Astra Serif"/>
          <w:b w:val="false"/>
          <w:bCs w:val="false"/>
          <w:i w:val="false"/>
          <w:iCs w:val="false"/>
          <w:sz w:val="28"/>
          <w:szCs w:val="28"/>
        </w:rPr>
        <w:t>Глава 2. Пояснительная записка с указанием проблем,</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на решение которых направлена муниципальная программа</w:t>
      </w:r>
    </w:p>
    <w:p>
      <w:pPr>
        <w:pStyle w:val="Normal"/>
        <w:numPr>
          <w:ilvl w:val="0"/>
          <w:numId w:val="0"/>
        </w:numPr>
        <w:ind w:left="0" w:hanging="0"/>
        <w:jc w:val="center"/>
        <w:outlineLvl w:val="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 xml:space="preserve">За пять месяцев 2025 года на обслуживаемой территории города Набережные Челны произошло 153 ДТП с пострадавшими, при которых погибли три человека и 189 получили ранения различной степени тяжести. По сравнению с АППГ количество происшествий осталось на уровне прошлого года (АППГ 153; 0 ДТП), количество погибших увеличилось в три раза (АППГ 1; +2) и раненых на 1,1 процентов (АППГ 187; -2 человека). </w:t>
      </w:r>
    </w:p>
    <w:p>
      <w:pPr>
        <w:pStyle w:val="Normal"/>
        <w:widowControl w:val="false"/>
        <w:tabs>
          <w:tab w:val="clear" w:pos="708"/>
          <w:tab w:val="left" w:pos="630" w:leader="none"/>
        </w:tabs>
        <w:suppressAutoHyphens w:val="true"/>
        <w:ind w:firstLine="708"/>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 xml:space="preserve">Расчетный целевой показатель, предусмотренный национальным проектом «Инфраструктура для жизни», установленный по итогам пяти месяцев 2025 года в городе выполнен (прогноз на пять месяцев 2025 года – не более четырех погибших, за истекший период погибли три человека). </w:t>
      </w:r>
    </w:p>
    <w:p>
      <w:pPr>
        <w:pStyle w:val="Style17"/>
        <w:tabs>
          <w:tab w:val="clear" w:pos="708"/>
          <w:tab w:val="left" w:pos="567" w:leader="none"/>
          <w:tab w:val="left" w:pos="709" w:leader="none"/>
        </w:tabs>
        <w:spacing w:before="0" w:after="0"/>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Основными видами аварийности, при которых участники дорожного движения получают увечья, являются:</w:t>
      </w:r>
    </w:p>
    <w:p>
      <w:pPr>
        <w:pStyle w:val="Normal"/>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1) столкновение автомобилей: 62 ДТП, что составляет 40,5 процентов от общего количества ДТП (АППГ 76 ДТП; -18,0 процентов), в которых один человек погиб (АППГ 1) и 89 человек ранены (АППГ 105 человек);</w:t>
      </w:r>
    </w:p>
    <w:p>
      <w:pPr>
        <w:pStyle w:val="Normal"/>
        <w:suppressAutoHyphens w:val="true"/>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2) наезды на пешеходов: 59 ДТП, что составляет 38,6 процентов от общего количества ДТП (АППГ 43 ДТП; -34,5 процентов), в которых один человек погиб (АППГ 0) и 59 человек ранены (АППГ 45 человек);</w:t>
      </w:r>
    </w:p>
    <w:p>
      <w:pPr>
        <w:pStyle w:val="Normal"/>
        <w:suppressAutoHyphens w:val="true"/>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 xml:space="preserve">3) наезд на препятствие: 10 ДТП, что составляет 6,8 процентов от общего количества ДТП (АППГ 4 ДТП), в которых 12 человек ранено (АППГ 4 человека). </w:t>
      </w:r>
    </w:p>
    <w:p>
      <w:pPr>
        <w:pStyle w:val="Normal"/>
        <w:widowControl w:val="false"/>
        <w:tabs>
          <w:tab w:val="clear" w:pos="708"/>
          <w:tab w:val="left" w:pos="567" w:leader="none"/>
        </w:tabs>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За пять месяцев 2025 года на обслуживаемой территории инспекторским составом пресечено 15296 нарушений правил дорожного движения (далее - ПДД) (-17,4 процентов к АППГ; 18507).</w:t>
      </w:r>
    </w:p>
    <w:p>
      <w:pPr>
        <w:pStyle w:val="Normal"/>
        <w:widowControl w:val="false"/>
        <w:tabs>
          <w:tab w:val="clear" w:pos="708"/>
          <w:tab w:val="left" w:pos="567" w:leader="none"/>
        </w:tabs>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ind w:firstLine="709"/>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color w:val="000000"/>
          <w:sz w:val="28"/>
          <w:szCs w:val="28"/>
          <w:shd w:fill="FFFFFF" w:val="clear"/>
        </w:rPr>
        <w:t>Детский дорожно – транспортный травматизм</w:t>
      </w:r>
    </w:p>
    <w:p>
      <w:pPr>
        <w:pStyle w:val="Style16"/>
        <w:ind w:firstLine="567"/>
        <w:jc w:val="both"/>
        <w:rPr>
          <w:rFonts w:ascii="PT Astra Serif" w:hAnsi="PT Astra Serif"/>
          <w:b w:val="false"/>
          <w:bCs w:val="false"/>
          <w:i w:val="false"/>
          <w:i w:val="false"/>
          <w:iCs w:val="false"/>
          <w:sz w:val="28"/>
          <w:szCs w:val="28"/>
        </w:rPr>
      </w:pPr>
      <w:r>
        <w:rPr>
          <w:rFonts w:cs="Times New Roman;Times New Roman"/>
          <w:b w:val="false"/>
          <w:bCs w:val="false"/>
          <w:i w:val="false"/>
          <w:iCs w:val="false"/>
          <w:sz w:val="28"/>
          <w:szCs w:val="28"/>
          <w:shd w:fill="FFFFFF" w:val="clear"/>
        </w:rPr>
        <w:t>За пять месяцев 2025 года на дорогах города Набережные Челны с участием детей в возрасте до 16 лет зарегистрировано 26 ДТП (АППГ 22), в которых погибших нет (АППГ 0), 27 несовершеннолетних получили ранения различной степени тяжести (АППГ 23). По сравнению с АППГ отмечается рост количества ДТП на четыре</w:t>
      </w:r>
      <w:r>
        <w:rPr>
          <w:rFonts w:cs="Times New Roman;Times New Roman"/>
          <w:b w:val="false"/>
          <w:bCs w:val="false"/>
          <w:i w:val="false"/>
          <w:iCs w:val="false"/>
          <w:sz w:val="28"/>
          <w:szCs w:val="28"/>
          <w:shd w:fill="FFFFFF" w:val="clear"/>
          <w:lang w:val="ru-RU"/>
        </w:rPr>
        <w:t xml:space="preserve"> единицы </w:t>
      </w:r>
      <w:r>
        <w:rPr>
          <w:rFonts w:cs="Times New Roman;Times New Roman"/>
          <w:b w:val="false"/>
          <w:bCs w:val="false"/>
          <w:i w:val="false"/>
          <w:iCs w:val="false"/>
          <w:sz w:val="28"/>
          <w:szCs w:val="28"/>
          <w:shd w:fill="FFFFFF" w:val="clear"/>
        </w:rPr>
        <w:t>(+18 процентов) и раненых на четыре</w:t>
      </w:r>
      <w:r>
        <w:rPr>
          <w:rFonts w:cs="Times New Roman;Times New Roman"/>
          <w:b w:val="false"/>
          <w:bCs w:val="false"/>
          <w:i w:val="false"/>
          <w:iCs w:val="false"/>
          <w:sz w:val="28"/>
          <w:szCs w:val="28"/>
          <w:shd w:fill="FFFFFF" w:val="clear"/>
          <w:lang w:val="ru-RU"/>
        </w:rPr>
        <w:t xml:space="preserve"> единицы </w:t>
      </w:r>
      <w:r>
        <w:rPr>
          <w:rFonts w:cs="Times New Roman;Times New Roman"/>
          <w:b w:val="false"/>
          <w:bCs w:val="false"/>
          <w:i w:val="false"/>
          <w:iCs w:val="false"/>
          <w:sz w:val="28"/>
          <w:szCs w:val="28"/>
          <w:shd w:fill="FFFFFF" w:val="clear"/>
        </w:rPr>
        <w:t xml:space="preserve">(+17 процентов). </w:t>
      </w:r>
    </w:p>
    <w:p>
      <w:pPr>
        <w:pStyle w:val="Normal"/>
        <w:numPr>
          <w:ilvl w:val="0"/>
          <w:numId w:val="0"/>
        </w:numPr>
        <w:ind w:left="0" w:firstLine="567"/>
        <w:jc w:val="both"/>
        <w:outlineLvl w:val="7"/>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ab/>
        <w:t xml:space="preserve">В целях профилактики ДТП с участием несовершеннолетних сотрудниками Госавтоинспекции (далее — ГАИ) проведено 87 тематических мероприятий по профилактике дорожно-транспортного травматизма в школах и детских садах (АППГ 81). Офицеры отделения приняли участие в 11 родительских собраниях (АППГ 11) и семи совещаниях с работниками образования (АППГ 10). Совместно с управлением образования Исполнительного комитета организовано 20 городских конкурсов (АППГ 21) и восемь акций по ПДД (АППГ 13). Совместно с сотрудниками отдела ГАИ и отдельной роты ДПС проведено 396 лекций по профилактике дорожно-транспортного травматизма в школах, детских садах и техникумах (АППГ 531). </w:t>
      </w:r>
    </w:p>
    <w:p>
      <w:pPr>
        <w:pStyle w:val="Style24"/>
        <w:spacing w:before="0" w:after="0"/>
        <w:ind w:left="0"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С целью информационного сопровождения деятельности ГАИ по обеспечению безопасности дорожного движения в средствах массовой информации (далее - СМИ) организовано ежедневное информирование жителей города о состоянии дорожно–транспортной обстановки. В СМИ подготовлено 1873 материала (АППГ 1766):</w:t>
      </w:r>
    </w:p>
    <w:p>
      <w:pPr>
        <w:pStyle w:val="Normal"/>
        <w:numPr>
          <w:ilvl w:val="0"/>
          <w:numId w:val="0"/>
        </w:numPr>
        <w:ind w:left="0" w:firstLine="567"/>
        <w:jc w:val="both"/>
        <w:outlineLvl w:val="7"/>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1) на телевидении - 674 сюжета (АППГ 617);</w:t>
      </w:r>
    </w:p>
    <w:p>
      <w:pPr>
        <w:pStyle w:val="Normal"/>
        <w:numPr>
          <w:ilvl w:val="0"/>
          <w:numId w:val="0"/>
        </w:numPr>
        <w:ind w:left="0" w:firstLine="567"/>
        <w:jc w:val="both"/>
        <w:outlineLvl w:val="7"/>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2) на радио - 336 материалов (АППГ 396);</w:t>
      </w:r>
    </w:p>
    <w:p>
      <w:pPr>
        <w:pStyle w:val="Normal"/>
        <w:numPr>
          <w:ilvl w:val="0"/>
          <w:numId w:val="0"/>
        </w:numPr>
        <w:ind w:left="0" w:firstLine="567"/>
        <w:jc w:val="both"/>
        <w:outlineLvl w:val="7"/>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 xml:space="preserve">3) в печатных изданиях и интернет порталах информационных агентств опубликованы 863 статьи (АППГ 753). </w:t>
      </w:r>
    </w:p>
    <w:p>
      <w:pPr>
        <w:pStyle w:val="Normal"/>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color w:val="000000"/>
          <w:sz w:val="28"/>
          <w:szCs w:val="28"/>
          <w:shd w:fill="FFFFFF" w:val="clear"/>
        </w:rPr>
        <w:t xml:space="preserve">По вине несовершеннолетних зарегистрировано восемь ДТП (АППГ 11). Для профилактики ДТП по вине несовершеннолетних на детей в возрасте до 16 лет составлено 19 карточек учёта нарушителей (АППГ 17). </w:t>
      </w:r>
      <w:r>
        <w:rPr>
          <w:rFonts w:ascii="PT Astra Serif" w:hAnsi="PT Astra Serif"/>
          <w:b w:val="false"/>
          <w:bCs w:val="false"/>
          <w:i w:val="false"/>
          <w:iCs w:val="false"/>
          <w:sz w:val="28"/>
          <w:szCs w:val="28"/>
          <w:shd w:fill="FFFFFF" w:val="clear"/>
        </w:rPr>
        <w:t>Информация о каждом факте задержания несовершеннолетних передается в подразделение по делам несовершеннолетних (далее - ПДН) и образовательное учреждение, посещаемое ребенком. За ненадлежащее выполнение родительских обязанностей на родителей, чьи дети нарушили ПДД, службой ПДН составлено три протокола по статье 5.35 Кодекса об административных правонарушениях Российской Федерации (АППГ 3).</w:t>
      </w:r>
    </w:p>
    <w:p>
      <w:pPr>
        <w:pStyle w:val="Style17"/>
        <w:spacing w:before="0" w:after="0"/>
        <w:ind w:firstLine="567"/>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sectPr>
          <w:footerReference w:type="default" r:id="rId2"/>
          <w:type w:val="nextPage"/>
          <w:pgSz w:w="11906" w:h="16838"/>
          <w:pgMar w:left="851" w:right="851" w:gutter="0" w:header="0" w:top="567" w:footer="851" w:bottom="1410"/>
          <w:pgNumType w:fmt="decimal"/>
          <w:formProt w:val="false"/>
          <w:textDirection w:val="lrTb"/>
          <w:docGrid w:type="default" w:linePitch="360" w:charSpace="0"/>
        </w:sect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 </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Глава 3. Программные мероприятия.</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Цель, задачи, индикаторы оценки результатов муниципальной программы и финансирование по мероприятиям</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bl>
      <w:tblPr>
        <w:tblStyle w:val="a4"/>
        <w:tblW w:w="15868" w:type="dxa"/>
        <w:jc w:val="left"/>
        <w:tblInd w:w="33" w:type="dxa"/>
        <w:tblLayout w:type="fixed"/>
        <w:tblCellMar>
          <w:top w:w="0" w:type="dxa"/>
          <w:left w:w="108" w:type="dxa"/>
          <w:bottom w:w="0" w:type="dxa"/>
          <w:right w:w="108" w:type="dxa"/>
        </w:tblCellMar>
        <w:tblLook w:val="04a0" w:noHBand="0" w:noVBand="1" w:firstColumn="1" w:lastRow="0" w:lastColumn="0" w:firstRow="1"/>
      </w:tblPr>
      <w:tblGrid>
        <w:gridCol w:w="1529"/>
        <w:gridCol w:w="1830"/>
        <w:gridCol w:w="1845"/>
        <w:gridCol w:w="1709"/>
        <w:gridCol w:w="1274"/>
        <w:gridCol w:w="1560"/>
        <w:gridCol w:w="705"/>
        <w:gridCol w:w="706"/>
        <w:gridCol w:w="704"/>
        <w:gridCol w:w="721"/>
        <w:gridCol w:w="1079"/>
        <w:gridCol w:w="46"/>
        <w:gridCol w:w="1004"/>
        <w:gridCol w:w="45"/>
        <w:gridCol w:w="1110"/>
      </w:tblGrid>
      <w:tr>
        <w:trPr>
          <w:trHeight w:val="968" w:hRule="atLeast"/>
        </w:trPr>
        <w:tc>
          <w:tcPr>
            <w:tcW w:w="1529" w:type="dxa"/>
            <w:vMerge w:val="restart"/>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Цель </w:t>
            </w:r>
          </w:p>
        </w:tc>
        <w:tc>
          <w:tcPr>
            <w:tcW w:w="1830" w:type="dxa"/>
            <w:vMerge w:val="restart"/>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Наименование задачи</w:t>
            </w:r>
          </w:p>
        </w:tc>
        <w:tc>
          <w:tcPr>
            <w:tcW w:w="1845" w:type="dxa"/>
            <w:vMerge w:val="restart"/>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Наименование основных мероприятий</w:t>
            </w:r>
          </w:p>
        </w:tc>
        <w:tc>
          <w:tcPr>
            <w:tcW w:w="1709" w:type="dxa"/>
            <w:vMerge w:val="restart"/>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Исполнители</w:t>
            </w:r>
          </w:p>
        </w:tc>
        <w:tc>
          <w:tcPr>
            <w:tcW w:w="1274" w:type="dxa"/>
            <w:vMerge w:val="restart"/>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Сроки выполнения основных мероприятий</w:t>
            </w:r>
          </w:p>
        </w:tc>
        <w:tc>
          <w:tcPr>
            <w:tcW w:w="1560" w:type="dxa"/>
            <w:vMerge w:val="restart"/>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Индикаторы оценки конечных результатов, единицы измерения</w:t>
            </w:r>
          </w:p>
        </w:tc>
        <w:tc>
          <w:tcPr>
            <w:tcW w:w="2836" w:type="dxa"/>
            <w:gridSpan w:val="4"/>
            <w:tcBorders>
              <w:top w:val="single" w:sz="2" w:space="0" w:color="000000"/>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Значения индикаторов</w:t>
            </w:r>
          </w:p>
        </w:tc>
        <w:tc>
          <w:tcPr>
            <w:tcW w:w="3284" w:type="dxa"/>
            <w:gridSpan w:val="5"/>
            <w:tcBorders>
              <w:top w:val="single" w:sz="2" w:space="0" w:color="000000"/>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Финансирование и источники </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финансирования</w:t>
            </w:r>
          </w:p>
        </w:tc>
      </w:tr>
      <w:tr>
        <w:trPr>
          <w:trHeight w:val="967" w:hRule="atLeast"/>
        </w:trPr>
        <w:tc>
          <w:tcPr>
            <w:tcW w:w="152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705" w:type="dxa"/>
            <w:tcBorders>
              <w:left w:val="single" w:sz="2" w:space="0" w:color="000000"/>
              <w:bottom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2025</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Базовый</w:t>
            </w:r>
          </w:p>
        </w:tc>
        <w:tc>
          <w:tcPr>
            <w:tcW w:w="706" w:type="dxa"/>
            <w:tcBorders>
              <w:left w:val="single" w:sz="2" w:space="0" w:color="000000"/>
              <w:bottom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2026</w:t>
            </w:r>
          </w:p>
        </w:tc>
        <w:tc>
          <w:tcPr>
            <w:tcW w:w="704" w:type="dxa"/>
            <w:tcBorders>
              <w:left w:val="single" w:sz="2" w:space="0" w:color="000000"/>
              <w:bottom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2027</w:t>
            </w:r>
          </w:p>
        </w:tc>
        <w:tc>
          <w:tcPr>
            <w:tcW w:w="721" w:type="dxa"/>
            <w:tcBorders>
              <w:left w:val="single" w:sz="2" w:space="0" w:color="000000"/>
              <w:bottom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2028</w:t>
            </w:r>
          </w:p>
        </w:tc>
        <w:tc>
          <w:tcPr>
            <w:tcW w:w="1125" w:type="dxa"/>
            <w:gridSpan w:val="2"/>
            <w:tcBorders>
              <w:left w:val="single" w:sz="2" w:space="0" w:color="000000"/>
              <w:bottom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2026</w:t>
            </w:r>
          </w:p>
        </w:tc>
        <w:tc>
          <w:tcPr>
            <w:tcW w:w="1004" w:type="dxa"/>
            <w:tcBorders>
              <w:left w:val="single" w:sz="2" w:space="0" w:color="000000"/>
              <w:bottom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2027</w:t>
            </w:r>
          </w:p>
        </w:tc>
        <w:tc>
          <w:tcPr>
            <w:tcW w:w="1155" w:type="dxa"/>
            <w:gridSpan w:val="2"/>
            <w:tcBorders>
              <w:left w:val="single" w:sz="2" w:space="0" w:color="000000"/>
              <w:bottom w:val="single" w:sz="2" w:space="0" w:color="000000"/>
              <w:right w:val="single" w:sz="2" w:space="0" w:color="000000"/>
            </w:tcBorders>
            <w:vAlign w:val="cente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2028</w:t>
            </w:r>
          </w:p>
        </w:tc>
      </w:tr>
      <w:tr>
        <w:trPr>
          <w:trHeight w:val="2876" w:hRule="atLeast"/>
        </w:trPr>
        <w:tc>
          <w:tcPr>
            <w:tcW w:w="1529" w:type="dxa"/>
            <w:vMerge w:val="restart"/>
            <w:tcBorders>
              <w:left w:val="single" w:sz="2" w:space="0" w:color="000000"/>
              <w:bottom w:val="single" w:sz="2" w:space="0" w:color="000000"/>
            </w:tcBorders>
          </w:tcPr>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Сокращение количества погибших в результате ДТП, в том числе детей </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suppressAutoHyphens w:val="true"/>
              <w:spacing w:before="0" w:after="0"/>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suppressAutoHyphens w:val="true"/>
              <w:spacing w:before="0" w:after="0"/>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pPr>
              <w:pStyle w:val="Normal"/>
              <w:widowControl w:val="false"/>
              <w:suppressAutoHyphens w:val="true"/>
              <w:spacing w:before="0" w:after="0"/>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suppressAutoHyphens w:val="true"/>
              <w:spacing w:before="0" w:after="0"/>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Конкурс «Безопасное колесо» учащихся общеобразовательных учреждений в рамках «Юный инспектор движения»</w:t>
            </w:r>
          </w:p>
        </w:tc>
        <w:tc>
          <w:tcPr>
            <w:tcW w:w="1709"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Управление образования Исполнительного комитета </w:t>
            </w:r>
          </w:p>
        </w:tc>
        <w:tc>
          <w:tcPr>
            <w:tcW w:w="1274"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suppressAutoHyphens w:val="true"/>
              <w:spacing w:before="0" w:after="0"/>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suppressAutoHyphens w:val="true"/>
              <w:spacing w:before="0" w:after="0"/>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учащихся, принявших участие</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290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290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290</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290</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rHeight w:val="557" w:hRule="atLeast"/>
        </w:trPr>
        <w:tc>
          <w:tcPr>
            <w:tcW w:w="1529" w:type="dxa"/>
            <w:vMerge w:val="continue"/>
            <w:tcBorders>
              <w:left w:val="single" w:sz="2" w:space="0" w:color="000000"/>
              <w:bottom w:val="single" w:sz="2" w:space="0" w:color="000000"/>
            </w:tcBorders>
          </w:tcPr>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Акция для учащихся общеобразовательных учреждений «Внимание – дети!», «Внимание - пешеход!».</w:t>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Доля учащихся, принявших участие в общем количестве общеобразовательных учрежденийй, %</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95</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95</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95</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95</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rHeight w:val="1407" w:hRule="atLeast"/>
        </w:trPr>
        <w:tc>
          <w:tcPr>
            <w:tcW w:w="1529" w:type="dxa"/>
            <w:vMerge w:val="continue"/>
            <w:tcBorders>
              <w:left w:val="single" w:sz="2" w:space="0" w:color="000000"/>
              <w:bottom w:val="single" w:sz="2" w:space="0" w:color="000000"/>
            </w:tcBorders>
          </w:tcPr>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shd w:color="auto" w:fill="auto" w:val="clear"/>
          </w:tcPr>
          <w:p>
            <w:pPr>
              <w:pStyle w:val="Normal"/>
              <w:widowControl w:val="false"/>
              <w:suppressAutoHyphens w:val="true"/>
              <w:spacing w:before="0" w:after="0"/>
              <w:contextualSpacing/>
              <w:jc w:val="left"/>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Зональный конкурс дидактических игр по обучению детей дошкольного возраста правилам безопасного дорожного движения «Дорога без опасности»</w:t>
            </w:r>
          </w:p>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проведенных мероприятий, ед.</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8</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8</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8</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8</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rHeight w:val="1691" w:hRule="atLeast"/>
        </w:trPr>
        <w:tc>
          <w:tcPr>
            <w:tcW w:w="1529" w:type="dxa"/>
            <w:vMerge w:val="continue"/>
            <w:tcBorders>
              <w:left w:val="single" w:sz="2" w:space="0" w:color="000000"/>
              <w:bottom w:val="single" w:sz="2" w:space="0" w:color="000000"/>
            </w:tcBorders>
          </w:tcPr>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Лекции в общеобразовательных учреждениях на тему: «Безопасность дорожного движения»</w:t>
            </w:r>
          </w:p>
        </w:tc>
        <w:tc>
          <w:tcPr>
            <w:tcW w:w="170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pPr>
            <w:r>
              <w:rPr>
                <w:rFonts w:ascii="PT Astra Serif" w:hAnsi="PT Astra Serif"/>
                <w:b w:val="false"/>
                <w:bCs w:val="false"/>
                <w:i w:val="false"/>
                <w:iCs w:val="false"/>
                <w:kern w:val="0"/>
                <w:sz w:val="24"/>
                <w:szCs w:val="24"/>
                <w:lang w:val="ru-RU" w:bidi="ar-SA"/>
              </w:rPr>
              <w:t>ГАИ (по согласованию)</w:t>
            </w:r>
          </w:p>
        </w:tc>
        <w:tc>
          <w:tcPr>
            <w:tcW w:w="1274"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Количество проведенных мероприятий, ед. </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66</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66</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66</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66</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rHeight w:val="2776" w:hRule="atLeast"/>
        </w:trPr>
        <w:tc>
          <w:tcPr>
            <w:tcW w:w="1529" w:type="dxa"/>
            <w:tcBorders>
              <w:left w:val="single" w:sz="2" w:space="0" w:color="000000"/>
              <w:bottom w:val="single" w:sz="2" w:space="0" w:color="000000"/>
            </w:tcBorders>
          </w:tcPr>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Освещение в СМИ материалов по обеспечению безопасности дорожного движения</w:t>
            </w:r>
          </w:p>
        </w:tc>
        <w:tc>
          <w:tcPr>
            <w:tcW w:w="170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Управление информационной политики и по связям с общественностью Исполнительного комитета</w:t>
            </w:r>
          </w:p>
        </w:tc>
        <w:tc>
          <w:tcPr>
            <w:tcW w:w="1274"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Постоянно </w:t>
            </w:r>
          </w:p>
        </w:tc>
        <w:tc>
          <w:tcPr>
            <w:tcW w:w="1560" w:type="dxa"/>
            <w:tcBorders>
              <w:left w:val="single" w:sz="2" w:space="0" w:color="000000"/>
              <w:bottom w:val="single" w:sz="2" w:space="0" w:color="000000"/>
            </w:tcBorders>
            <w:shd w:color="auto" w:fill="auto" w:val="clear"/>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размещенного материала, ед.</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12</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12</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12</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12</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c>
          <w:tcPr>
            <w:tcW w:w="1529"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Сокращение ДТП с участием общественного пассажирского транспорта </w:t>
            </w:r>
          </w:p>
        </w:tc>
        <w:tc>
          <w:tcPr>
            <w:tcW w:w="1830"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Повышение культуры вождения</w:t>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Организация и проведение всероссийского конкурса профессионального мастерства водителей </w:t>
            </w:r>
          </w:p>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eastAsia="Calibri" w:ascii="PT Astra Serif" w:hAnsi="PT Astra Serif" w:eastAsiaTheme="minorHAnsi"/>
                <w:b w:val="false"/>
                <w:bCs w:val="false"/>
                <w:i w:val="false"/>
                <w:iCs w:val="false"/>
                <w:kern w:val="0"/>
                <w:sz w:val="24"/>
                <w:szCs w:val="24"/>
                <w:lang w:val="ru-RU" w:eastAsia="en-US" w:bidi="ar-SA"/>
              </w:rPr>
              <w:t xml:space="preserve">магистральных автопоездов на </w:t>
            </w:r>
          </w:p>
          <w:p>
            <w:pPr>
              <w:pStyle w:val="Normal"/>
              <w:widowControl w:val="false"/>
              <w:suppressAutoHyphens w:val="true"/>
              <w:spacing w:before="0" w:after="0"/>
              <w:jc w:val="both"/>
              <w:rPr>
                <w:rFonts w:ascii="PT Astra Serif" w:hAnsi="PT Astra Serif"/>
                <w:b w:val="false"/>
                <w:bCs w:val="false"/>
                <w:i w:val="false"/>
                <w:i w:val="false"/>
                <w:iCs w:val="false"/>
                <w:sz w:val="24"/>
                <w:szCs w:val="24"/>
              </w:rPr>
            </w:pPr>
            <w:r>
              <w:rPr>
                <w:rFonts w:eastAsia="Calibri" w:ascii="PT Astra Serif" w:hAnsi="PT Astra Serif" w:eastAsiaTheme="minorHAnsi"/>
                <w:b w:val="false"/>
                <w:bCs w:val="false"/>
                <w:i w:val="false"/>
                <w:iCs w:val="false"/>
                <w:kern w:val="0"/>
                <w:sz w:val="24"/>
                <w:szCs w:val="24"/>
                <w:lang w:val="ru-RU" w:eastAsia="en-US" w:bidi="ar-SA"/>
              </w:rPr>
              <w:t>«Кубок Мэра»</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70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Управление городского хозяйства и жизнеобеспечения населения Исполнительного комитета, Логистическая ассоциация Татарстана (по согласованию)</w:t>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участников, человек</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30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30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30</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30</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c>
          <w:tcPr>
            <w:tcW w:w="152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Организация и проведение городского конкурса профессионального мастерства водителей общественного транспорта</w:t>
            </w:r>
          </w:p>
        </w:tc>
        <w:tc>
          <w:tcPr>
            <w:tcW w:w="1709"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Управление городского хозяйства и жизнеобеспечения населения Исполнительного комитета, МУП «Горкоммунхоз»</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участников, человек</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25</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25</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25</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25</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c>
          <w:tcPr>
            <w:tcW w:w="152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Организация и проведение  курсов стрессоустойчивости и клиент ориентированности с водителями общественного транспорта</w:t>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проведенных лекций, ед.</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4</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4</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4</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4</w:t>
            </w:r>
          </w:p>
        </w:tc>
        <w:tc>
          <w:tcPr>
            <w:tcW w:w="3284" w:type="dxa"/>
            <w:gridSpan w:val="5"/>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Мероприятие носит организационный характер</w:t>
            </w:r>
          </w:p>
        </w:tc>
      </w:tr>
      <w:tr>
        <w:trPr/>
        <w:tc>
          <w:tcPr>
            <w:tcW w:w="1529"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Поддержание нормативного технического состояния УДС на достигнутых уровнях.</w:t>
            </w:r>
          </w:p>
        </w:tc>
        <w:tc>
          <w:tcPr>
            <w:tcW w:w="1830"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Поддержание нормативного технического состояния УДС </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Содержание и ремонт дорог, мостов и тротуаров</w:t>
            </w:r>
          </w:p>
        </w:tc>
        <w:tc>
          <w:tcPr>
            <w:tcW w:w="1709"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Управление городского хозяйства и жизнеобеспечения населения Исполнительного комитета</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shd w:fill="FFFFFF" w:val="clear"/>
                <w:lang w:val="ru-RU" w:bidi="ar-SA"/>
              </w:rPr>
              <w:t>Количество предписаний ГАИ на нарушение содержания</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99</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95</w:t>
            </w:r>
          </w:p>
        </w:tc>
        <w:tc>
          <w:tcPr>
            <w:tcW w:w="1079" w:type="dxa"/>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color w:val="000000" w:themeColor="text1"/>
                <w:kern w:val="0"/>
                <w:sz w:val="22"/>
                <w:szCs w:val="22"/>
                <w:shd w:fill="FFFFFF" w:val="clear"/>
                <w:lang w:val="ru-RU" w:bidi="ar-SA"/>
              </w:rPr>
              <w:t>Городской бюджет</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color w:val="000000" w:themeColor="text1"/>
                <w:kern w:val="0"/>
                <w:sz w:val="22"/>
                <w:szCs w:val="22"/>
                <w:highlight w:val="none"/>
                <w:shd w:fill="FFFFFF" w:val="clear"/>
                <w:lang w:val="ru-RU" w:bidi="ar-SA"/>
              </w:rPr>
            </w:pPr>
            <w:r>
              <w:rPr>
                <w:rFonts w:ascii="PT Astra Serif" w:hAnsi="PT Astra Serif"/>
                <w:b w:val="false"/>
                <w:bCs w:val="false"/>
                <w:i w:val="false"/>
                <w:iCs w:val="false"/>
                <w:color w:val="000000" w:themeColor="text1"/>
                <w:kern w:val="0"/>
                <w:sz w:val="22"/>
                <w:szCs w:val="22"/>
                <w:shd w:fill="FFFFFF" w:val="clear"/>
                <w:lang w:val="ru-RU" w:bidi="ar-SA"/>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color w:val="000000" w:themeColor="text1"/>
                <w:kern w:val="0"/>
                <w:sz w:val="22"/>
                <w:szCs w:val="22"/>
                <w:shd w:fill="FFFFFF" w:val="clear"/>
                <w:lang w:val="ru-RU" w:bidi="ar-SA"/>
              </w:rPr>
              <w:t>638430,4 тыс.рублей</w:t>
            </w:r>
          </w:p>
        </w:tc>
        <w:tc>
          <w:tcPr>
            <w:tcW w:w="1095" w:type="dxa"/>
            <w:gridSpan w:val="3"/>
            <w:vMerge w:val="restart"/>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color w:val="000000" w:themeColor="text1"/>
                <w:kern w:val="0"/>
                <w:sz w:val="22"/>
                <w:szCs w:val="22"/>
                <w:shd w:fill="FFFFFF" w:val="clear"/>
                <w:lang w:val="ru-RU" w:bidi="ar-SA"/>
              </w:rPr>
              <w:t>Городской бюджет</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color w:val="000000" w:themeColor="text1"/>
                <w:kern w:val="0"/>
                <w:sz w:val="22"/>
                <w:szCs w:val="22"/>
                <w:highlight w:val="none"/>
                <w:shd w:fill="FFFFFF" w:val="clear"/>
                <w:lang w:val="ru-RU" w:bidi="ar-SA"/>
              </w:rPr>
            </w:pPr>
            <w:r>
              <w:rPr>
                <w:rFonts w:ascii="PT Astra Serif" w:hAnsi="PT Astra Serif"/>
                <w:b w:val="false"/>
                <w:bCs w:val="false"/>
                <w:i w:val="false"/>
                <w:iCs w:val="false"/>
                <w:color w:val="000000" w:themeColor="text1"/>
                <w:kern w:val="0"/>
                <w:sz w:val="22"/>
                <w:szCs w:val="22"/>
                <w:shd w:fill="FFFFFF" w:val="clear"/>
                <w:lang w:val="ru-RU" w:bidi="ar-SA"/>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color w:val="000000" w:themeColor="text1"/>
                <w:kern w:val="0"/>
                <w:sz w:val="22"/>
                <w:szCs w:val="22"/>
                <w:shd w:fill="FFFFFF" w:val="clear"/>
                <w:lang w:val="ru-RU" w:bidi="ar-SA"/>
              </w:rPr>
              <w:t>638430,4 тыс.рублей</w:t>
            </w:r>
          </w:p>
        </w:tc>
        <w:tc>
          <w:tcPr>
            <w:tcW w:w="1110" w:type="dxa"/>
            <w:vMerge w:val="restart"/>
            <w:tcBorders>
              <w:left w:val="single" w:sz="2" w:space="0" w:color="000000"/>
              <w:bottom w:val="single" w:sz="2" w:space="0" w:color="000000"/>
              <w:right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color w:val="000000" w:themeColor="text1"/>
                <w:kern w:val="0"/>
                <w:sz w:val="22"/>
                <w:szCs w:val="22"/>
                <w:shd w:fill="FFFFFF" w:val="clear"/>
                <w:lang w:val="ru-RU" w:bidi="ar-SA"/>
              </w:rPr>
              <w:t>Городской бюджет</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color w:val="000000" w:themeColor="text1"/>
                <w:kern w:val="0"/>
                <w:sz w:val="22"/>
                <w:szCs w:val="22"/>
                <w:highlight w:val="none"/>
                <w:shd w:fill="FFFFFF" w:val="clear"/>
                <w:lang w:val="ru-RU" w:bidi="ar-SA"/>
              </w:rPr>
            </w:pPr>
            <w:r>
              <w:rPr>
                <w:rFonts w:ascii="PT Astra Serif" w:hAnsi="PT Astra Serif"/>
                <w:b w:val="false"/>
                <w:bCs w:val="false"/>
                <w:i w:val="false"/>
                <w:iCs w:val="false"/>
                <w:color w:val="000000" w:themeColor="text1"/>
                <w:kern w:val="0"/>
                <w:sz w:val="22"/>
                <w:szCs w:val="22"/>
                <w:shd w:fill="FFFFFF" w:val="clear"/>
                <w:lang w:val="ru-RU" w:bidi="ar-SA"/>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sz w:val="22"/>
                <w:szCs w:val="22"/>
              </w:rPr>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2"/>
                <w:szCs w:val="22"/>
              </w:rPr>
            </w:pPr>
            <w:r>
              <w:rPr>
                <w:rFonts w:ascii="PT Astra Serif" w:hAnsi="PT Astra Serif"/>
                <w:b w:val="false"/>
                <w:bCs w:val="false"/>
                <w:i w:val="false"/>
                <w:iCs w:val="false"/>
                <w:color w:val="000000" w:themeColor="text1"/>
                <w:kern w:val="0"/>
                <w:sz w:val="22"/>
                <w:szCs w:val="22"/>
                <w:shd w:fill="FFFFFF" w:val="clear"/>
                <w:lang w:val="ru-RU" w:bidi="ar-SA"/>
              </w:rPr>
              <w:t>638430,4 тыс.рублей</w:t>
            </w:r>
          </w:p>
        </w:tc>
      </w:tr>
      <w:tr>
        <w:trPr/>
        <w:tc>
          <w:tcPr>
            <w:tcW w:w="152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pPr>
            <w:r>
              <w:rPr>
                <w:rStyle w:val="FontStyle12"/>
                <w:rFonts w:ascii="PT Astra Serif" w:hAnsi="PT Astra Serif"/>
                <w:b w:val="false"/>
                <w:bCs w:val="false"/>
                <w:i w:val="false"/>
                <w:iCs w:val="false"/>
                <w:kern w:val="0"/>
                <w:sz w:val="24"/>
                <w:szCs w:val="24"/>
                <w:lang w:val="ru-RU" w:bidi="ar-SA"/>
              </w:rPr>
              <w:t>Зимнее содержание автомобильных дорог</w:t>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shd w:fill="FFFFFF" w:val="clear"/>
                <w:lang w:val="ru-RU" w:bidi="ar-SA"/>
              </w:rPr>
              <w:t xml:space="preserve">Количество предписаний ГИБДД на нарушение содержания </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30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30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29</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28</w:t>
            </w:r>
          </w:p>
        </w:tc>
        <w:tc>
          <w:tcPr>
            <w:tcW w:w="1079" w:type="dxa"/>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kern w:val="0"/>
                <w:sz w:val="24"/>
                <w:szCs w:val="24"/>
                <w:highlight w:val="none"/>
                <w:shd w:fill="FFFFFF" w:val="clear"/>
                <w:lang w:val="ru-RU" w:bidi="ar-SA"/>
              </w:rPr>
            </w:pPr>
            <w:r>
              <w:rPr>
                <w:rFonts w:ascii="PT Astra Serif" w:hAnsi="PT Astra Serif"/>
                <w:b w:val="false"/>
                <w:bCs w:val="false"/>
                <w:i w:val="false"/>
                <w:iCs w:val="false"/>
                <w:kern w:val="0"/>
                <w:sz w:val="24"/>
                <w:szCs w:val="24"/>
                <w:shd w:fill="FFFFFF" w:val="clear"/>
                <w:lang w:val="ru-RU" w:bidi="ar-SA"/>
              </w:rPr>
            </w:r>
          </w:p>
        </w:tc>
        <w:tc>
          <w:tcPr>
            <w:tcW w:w="1095" w:type="dxa"/>
            <w:gridSpan w:val="3"/>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kern w:val="0"/>
                <w:sz w:val="24"/>
                <w:szCs w:val="24"/>
                <w:highlight w:val="none"/>
                <w:shd w:fill="FFFFFF" w:val="clear"/>
                <w:lang w:val="ru-RU" w:bidi="ar-SA"/>
              </w:rPr>
            </w:pPr>
            <w:r>
              <w:rPr>
                <w:rFonts w:ascii="PT Astra Serif" w:hAnsi="PT Astra Serif"/>
                <w:b w:val="false"/>
                <w:bCs w:val="false"/>
                <w:i w:val="false"/>
                <w:iCs w:val="false"/>
                <w:kern w:val="0"/>
                <w:sz w:val="24"/>
                <w:szCs w:val="24"/>
                <w:shd w:fill="FFFFFF" w:val="clear"/>
                <w:lang w:val="ru-RU" w:bidi="ar-SA"/>
              </w:rPr>
            </w:r>
          </w:p>
        </w:tc>
        <w:tc>
          <w:tcPr>
            <w:tcW w:w="1110" w:type="dxa"/>
            <w:vMerge w:val="continue"/>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kern w:val="0"/>
                <w:sz w:val="24"/>
                <w:szCs w:val="24"/>
                <w:highlight w:val="none"/>
                <w:shd w:fill="FFFFFF" w:val="clear"/>
                <w:lang w:val="ru-RU" w:bidi="ar-SA"/>
              </w:rPr>
            </w:pPr>
            <w:r>
              <w:rPr>
                <w:rFonts w:ascii="PT Astra Serif" w:hAnsi="PT Astra Serif"/>
                <w:b w:val="false"/>
                <w:bCs w:val="false"/>
                <w:i w:val="false"/>
                <w:iCs w:val="false"/>
                <w:kern w:val="0"/>
                <w:sz w:val="24"/>
                <w:szCs w:val="24"/>
                <w:shd w:fill="FFFFFF" w:val="clear"/>
                <w:lang w:val="ru-RU" w:bidi="ar-SA"/>
              </w:rPr>
            </w:r>
          </w:p>
        </w:tc>
      </w:tr>
      <w:tr>
        <w:trPr/>
        <w:tc>
          <w:tcPr>
            <w:tcW w:w="152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pPr>
            <w:r>
              <w:rPr>
                <w:rStyle w:val="FontStyle12"/>
                <w:rFonts w:ascii="PT Astra Serif" w:hAnsi="PT Astra Serif"/>
                <w:b w:val="false"/>
                <w:bCs w:val="false"/>
                <w:i w:val="false"/>
                <w:iCs w:val="false"/>
                <w:kern w:val="0"/>
                <w:sz w:val="24"/>
                <w:szCs w:val="24"/>
                <w:lang w:val="ru-RU" w:bidi="ar-SA"/>
              </w:rPr>
              <w:t>Установка дорожных знаков</w:t>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Доля установленных дорожных знаков по предприсанию ГИБДД, %</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1079" w:type="dxa"/>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c>
          <w:tcPr>
            <w:tcW w:w="1095" w:type="dxa"/>
            <w:gridSpan w:val="3"/>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c>
          <w:tcPr>
            <w:tcW w:w="1110" w:type="dxa"/>
            <w:vMerge w:val="continue"/>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r>
      <w:tr>
        <w:trPr/>
        <w:tc>
          <w:tcPr>
            <w:tcW w:w="152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pPr>
            <w:r>
              <w:rPr>
                <w:rStyle w:val="FontStyle12"/>
                <w:rFonts w:ascii="PT Astra Serif" w:hAnsi="PT Astra Serif"/>
                <w:b w:val="false"/>
                <w:bCs w:val="false"/>
                <w:i w:val="false"/>
                <w:iCs w:val="false"/>
                <w:kern w:val="0"/>
                <w:sz w:val="24"/>
                <w:szCs w:val="24"/>
                <w:lang w:val="ru-RU" w:bidi="ar-SA"/>
              </w:rPr>
              <w:t>Нанесение дорожной разметки</w:t>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Доля автомобильных дорог с дорожной разметкой, %</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1079" w:type="dxa"/>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c>
          <w:tcPr>
            <w:tcW w:w="1095" w:type="dxa"/>
            <w:gridSpan w:val="3"/>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c>
          <w:tcPr>
            <w:tcW w:w="1110" w:type="dxa"/>
            <w:vMerge w:val="continue"/>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r>
      <w:tr>
        <w:trPr/>
        <w:tc>
          <w:tcPr>
            <w:tcW w:w="152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pPr>
            <w:r>
              <w:rPr>
                <w:rStyle w:val="FontStyle12"/>
                <w:rFonts w:ascii="PT Astra Serif" w:hAnsi="PT Astra Serif"/>
                <w:b w:val="false"/>
                <w:bCs w:val="false"/>
                <w:i w:val="false"/>
                <w:iCs w:val="false"/>
                <w:kern w:val="0"/>
                <w:sz w:val="24"/>
                <w:szCs w:val="24"/>
                <w:lang w:val="ru-RU" w:bidi="ar-SA"/>
              </w:rPr>
              <w:t>Светофорные объекты</w:t>
            </w:r>
          </w:p>
        </w:tc>
        <w:tc>
          <w:tcPr>
            <w:tcW w:w="1709" w:type="dxa"/>
            <w:vMerge w:val="continue"/>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Доля установленных светофорных объектов по предписанию ГИБДД, %</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100</w:t>
            </w:r>
          </w:p>
        </w:tc>
        <w:tc>
          <w:tcPr>
            <w:tcW w:w="1079" w:type="dxa"/>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c>
          <w:tcPr>
            <w:tcW w:w="1095" w:type="dxa"/>
            <w:gridSpan w:val="3"/>
            <w:vMerge w:val="continue"/>
            <w:tcBorders>
              <w:left w:val="single" w:sz="2" w:space="0" w:color="000000"/>
              <w:bottom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c>
          <w:tcPr>
            <w:tcW w:w="1110" w:type="dxa"/>
            <w:vMerge w:val="continue"/>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r>
      <w:tr>
        <w:trPr/>
        <w:tc>
          <w:tcPr>
            <w:tcW w:w="152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tc>
        <w:tc>
          <w:tcPr>
            <w:tcW w:w="183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Ликвидация мест концентрации ДТП</w:t>
            </w:r>
          </w:p>
        </w:tc>
        <w:tc>
          <w:tcPr>
            <w:tcW w:w="184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left"/>
              <w:outlineLvl w:val="0"/>
              <w:rPr/>
            </w:pPr>
            <w:r>
              <w:rPr>
                <w:rStyle w:val="FontStyle12"/>
                <w:rFonts w:ascii="PT Astra Serif" w:hAnsi="PT Astra Serif"/>
                <w:b w:val="false"/>
                <w:bCs w:val="false"/>
                <w:i w:val="false"/>
                <w:iCs w:val="false"/>
                <w:kern w:val="0"/>
                <w:sz w:val="24"/>
                <w:szCs w:val="24"/>
                <w:lang w:val="ru-RU" w:bidi="ar-SA"/>
              </w:rPr>
              <w:t>Ликвидация мест концентрации ДТП (приложение к муниципальной программе)</w:t>
            </w:r>
          </w:p>
        </w:tc>
        <w:tc>
          <w:tcPr>
            <w:tcW w:w="1709"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 xml:space="preserve">Управление городского хозяйства и жизнеобеспечения населения Исполнительного комитета </w:t>
            </w:r>
          </w:p>
        </w:tc>
        <w:tc>
          <w:tcPr>
            <w:tcW w:w="127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Ежегодно</w:t>
            </w:r>
          </w:p>
        </w:tc>
        <w:tc>
          <w:tcPr>
            <w:tcW w:w="1560"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both"/>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kern w:val="0"/>
                <w:sz w:val="24"/>
                <w:szCs w:val="24"/>
                <w:lang w:val="ru-RU" w:bidi="ar-SA"/>
              </w:rPr>
              <w:t>Количество ликвидируемых мест концентрации ДТП</w:t>
            </w:r>
          </w:p>
        </w:tc>
        <w:tc>
          <w:tcPr>
            <w:tcW w:w="705"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14</w:t>
            </w:r>
          </w:p>
        </w:tc>
        <w:tc>
          <w:tcPr>
            <w:tcW w:w="706"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11</w:t>
            </w:r>
          </w:p>
        </w:tc>
        <w:tc>
          <w:tcPr>
            <w:tcW w:w="704"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10</w:t>
            </w:r>
          </w:p>
        </w:tc>
        <w:tc>
          <w:tcPr>
            <w:tcW w:w="721" w:type="dxa"/>
            <w:tcBorders>
              <w:left w:val="single" w:sz="2" w:space="0" w:color="000000"/>
              <w:bottom w:val="single" w:sz="2" w:space="0" w:color="000000"/>
            </w:tcBorders>
          </w:tcPr>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sz w:val="24"/>
                <w:szCs w:val="24"/>
              </w:rPr>
            </w:r>
          </w:p>
          <w:p>
            <w:pPr>
              <w:pStyle w:val="Normal"/>
              <w:widowControl w:val="false"/>
              <w:numPr>
                <w:ilvl w:val="0"/>
                <w:numId w:val="0"/>
              </w:numPr>
              <w:suppressAutoHyphens w:val="true"/>
              <w:spacing w:before="0" w:after="0"/>
              <w:ind w:left="0" w:right="0" w:hanging="0"/>
              <w:jc w:val="center"/>
              <w:outlineLvl w:val="0"/>
              <w:rPr>
                <w:rFonts w:ascii="PT Astra Serif" w:hAnsi="PT Astra Serif"/>
                <w:b w:val="false"/>
                <w:bCs w:val="false"/>
                <w:i w:val="false"/>
                <w:i w:val="false"/>
                <w:iCs w:val="false"/>
                <w:sz w:val="24"/>
                <w:szCs w:val="24"/>
              </w:rPr>
            </w:pPr>
            <w:r>
              <w:rPr>
                <w:rFonts w:ascii="PT Astra Serif" w:hAnsi="PT Astra Serif"/>
                <w:b w:val="false"/>
                <w:bCs w:val="false"/>
                <w:i w:val="false"/>
                <w:iCs w:val="false"/>
                <w:color w:val="000000"/>
                <w:kern w:val="0"/>
                <w:sz w:val="24"/>
                <w:szCs w:val="24"/>
                <w:shd w:fill="FFFFFF" w:val="clear"/>
                <w:lang w:val="ru-RU" w:bidi="ar-SA"/>
              </w:rPr>
              <w:t>9</w:t>
            </w:r>
          </w:p>
        </w:tc>
        <w:tc>
          <w:tcPr>
            <w:tcW w:w="3284" w:type="dxa"/>
            <w:gridSpan w:val="5"/>
            <w:tcBorders>
              <w:left w:val="single" w:sz="2" w:space="0" w:color="000000"/>
              <w:bottom w:val="single" w:sz="2" w:space="0" w:color="000000"/>
              <w:right w:val="single" w:sz="2" w:space="0" w:color="000000"/>
            </w:tcBorders>
          </w:tcPr>
          <w:p>
            <w:pPr>
              <w:pStyle w:val="Normal"/>
              <w:widowControl w:val="false"/>
              <w:suppressAutoHyphens w:val="true"/>
              <w:spacing w:before="0" w:after="0"/>
              <w:jc w:val="left"/>
              <w:rPr>
                <w:rFonts w:ascii="PT Astra Serif" w:hAnsi="PT Astra Serif"/>
                <w:b w:val="false"/>
                <w:bCs w:val="false"/>
                <w:i w:val="false"/>
                <w:i w:val="false"/>
                <w:iCs w:val="false"/>
                <w:color w:val="000000"/>
                <w:sz w:val="24"/>
                <w:szCs w:val="24"/>
                <w:highlight w:val="none"/>
                <w:shd w:fill="FFFFFF" w:val="clear"/>
              </w:rPr>
            </w:pPr>
            <w:r>
              <w:rPr>
                <w:rFonts w:ascii="PT Astra Serif" w:hAnsi="PT Astra Serif"/>
                <w:b w:val="false"/>
                <w:bCs w:val="false"/>
                <w:i w:val="false"/>
                <w:iCs w:val="false"/>
                <w:color w:val="000000"/>
                <w:sz w:val="24"/>
                <w:szCs w:val="24"/>
                <w:shd w:fill="FFFFFF" w:val="clear"/>
              </w:rPr>
            </w:r>
          </w:p>
        </w:tc>
      </w:tr>
    </w:tbl>
    <w:p>
      <w:pPr>
        <w:sectPr>
          <w:footerReference w:type="default" r:id="rId3"/>
          <w:footerReference w:type="first" r:id="rId4"/>
          <w:type w:val="nextPage"/>
          <w:pgSz w:orient="landscape" w:w="16838" w:h="11906"/>
          <w:pgMar w:left="567" w:right="567" w:gutter="0" w:header="0" w:top="1134" w:footer="0" w:bottom="1134"/>
          <w:pgNumType w:fmt="decimal"/>
          <w:formProt w:val="false"/>
          <w:textDirection w:val="lrTb"/>
          <w:docGrid w:type="default" w:linePitch="360" w:charSpace="0"/>
        </w:sectPr>
      </w:pP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Глава 4. Ресурсное обеспечение муниципальной программы</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ab/>
        <w:t xml:space="preserve">Для реализации мероприятий муниципальной программы предполагается использование средств муниципального бюджета в размере 1 </w:t>
      </w:r>
      <w:r>
        <w:rPr>
          <w:rFonts w:ascii="PT Astra Serif" w:hAnsi="PT Astra Serif"/>
          <w:b w:val="false"/>
          <w:bCs w:val="false"/>
          <w:i w:val="false"/>
          <w:iCs w:val="false"/>
          <w:sz w:val="28"/>
          <w:szCs w:val="28"/>
          <w:lang w:eastAsia="en-US"/>
        </w:rPr>
        <w:t>915 291,2 тыс. рублей: 2026 год – 638 430,4 тыс. рублей, 2027 год – 638 430,4 тыс. рублей, 2028 год – 638 430,4 тыс. рублей.</w:t>
      </w:r>
    </w:p>
    <w:p>
      <w:pPr>
        <w:pStyle w:val="Normal"/>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Глава 5. Оценка эффективности реализации муниципальной программы</w:t>
      </w:r>
    </w:p>
    <w:p>
      <w:pPr>
        <w:pStyle w:val="Normal"/>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spacing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ab/>
        <w:t>Управление городского хозяйства и жизнеобеспечения населения Исполнительного комитета создает условия для реализации программных мероприятий в пределах своей компетенции.</w:t>
      </w:r>
    </w:p>
    <w:p>
      <w:pPr>
        <w:pStyle w:val="Normal"/>
        <w:spacing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ab/>
        <w:t>Социально — экономическая эффективность от реализации муниципальной программы достигается за счет:</w:t>
      </w:r>
    </w:p>
    <w:p>
      <w:pPr>
        <w:pStyle w:val="Normal"/>
        <w:spacing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ab/>
        <w:t>1) сокращения количества погибших в результате ДТП;</w:t>
      </w:r>
    </w:p>
    <w:p>
      <w:pPr>
        <w:pStyle w:val="Normal"/>
        <w:spacing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ab/>
        <w:t>2) сокращения ДТП с участием общественного пассажирского транспорта;</w:t>
      </w:r>
    </w:p>
    <w:p>
      <w:pPr>
        <w:pStyle w:val="Normal"/>
        <w:spacing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ab/>
        <w:t>3) поддержания нормативного технического состояния УДС.</w:t>
      </w:r>
    </w:p>
    <w:p>
      <w:pPr>
        <w:pStyle w:val="Normal"/>
        <w:spacing w:before="0" w:after="20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numPr>
          <w:ilvl w:val="0"/>
          <w:numId w:val="0"/>
        </w:numPr>
        <w:ind w:left="0" w:hanging="0"/>
        <w:outlineLvl w:val="0"/>
        <w:rPr>
          <w:rFonts w:ascii="PT Astra Serif" w:hAnsi="PT Astra Serif"/>
          <w:sz w:val="28"/>
          <w:szCs w:val="28"/>
        </w:rPr>
      </w:pPr>
      <w:r>
        <w:rPr>
          <w:rFonts w:ascii="PT Astra Serif" w:hAnsi="PT Astra Serif"/>
          <w:b w:val="false"/>
          <w:bCs w:val="false"/>
          <w:i w:val="false"/>
          <w:iCs w:val="false"/>
          <w:sz w:val="28"/>
          <w:szCs w:val="28"/>
        </w:rPr>
        <w:t xml:space="preserve">Заместитель Руководителя Аппарата, </w:t>
      </w:r>
    </w:p>
    <w:p>
      <w:pPr>
        <w:pStyle w:val="Normal"/>
        <w:numPr>
          <w:ilvl w:val="0"/>
          <w:numId w:val="0"/>
        </w:numPr>
        <w:ind w:left="0" w:hanging="0"/>
        <w:outlineLvl w:val="0"/>
        <w:rPr>
          <w:rFonts w:ascii="PT Astra Serif" w:hAnsi="PT Astra Serif"/>
          <w:sz w:val="28"/>
          <w:szCs w:val="28"/>
        </w:rPr>
      </w:pPr>
      <w:r>
        <w:rPr>
          <w:rFonts w:ascii="PT Astra Serif" w:hAnsi="PT Astra Serif"/>
          <w:b w:val="false"/>
          <w:bCs w:val="false"/>
          <w:i w:val="false"/>
          <w:iCs w:val="false"/>
          <w:sz w:val="28"/>
          <w:szCs w:val="28"/>
        </w:rPr>
        <w:t>начальник управления делопроизводством</w:t>
      </w:r>
    </w:p>
    <w:p>
      <w:pPr>
        <w:pStyle w:val="Normal"/>
        <w:numPr>
          <w:ilvl w:val="0"/>
          <w:numId w:val="0"/>
        </w:numPr>
        <w:ind w:left="0" w:hanging="0"/>
        <w:outlineLvl w:val="0"/>
        <w:rPr>
          <w:rFonts w:ascii="PT Astra Serif" w:hAnsi="PT Astra Serif"/>
          <w:sz w:val="28"/>
          <w:szCs w:val="28"/>
        </w:rPr>
      </w:pPr>
      <w:r>
        <w:rPr>
          <w:rFonts w:ascii="PT Astra Serif" w:hAnsi="PT Astra Serif"/>
          <w:sz w:val="28"/>
          <w:szCs w:val="28"/>
        </w:rPr>
        <w:t>Исполнительного комитета</w:t>
        <w:tab/>
        <w:t xml:space="preserve">           </w:t>
        <w:tab/>
        <w:t xml:space="preserve"> </w:t>
        <w:tab/>
        <w:tab/>
        <w:tab/>
        <w:t>Н.И. Галиева</w:t>
      </w:r>
    </w:p>
    <w:p>
      <w:pPr>
        <w:pStyle w:val="Normal"/>
        <w:ind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sectPr>
          <w:footerReference w:type="default" r:id="rId5"/>
          <w:footerReference w:type="first" r:id="rId6"/>
          <w:type w:val="nextPage"/>
          <w:pgSz w:w="11906" w:h="16838"/>
          <w:pgMar w:left="851" w:right="851" w:gutter="0" w:header="0" w:top="567" w:footer="851" w:bottom="1410"/>
          <w:pgNumType w:fmt="decimal"/>
          <w:formProt w:val="false"/>
          <w:textDirection w:val="lrTb"/>
          <w:docGrid w:type="default" w:linePitch="360" w:charSpace="0"/>
        </w:sect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widowControl/>
        <w:suppressAutoHyphens w:val="true"/>
        <w:bidi w:val="0"/>
        <w:spacing w:before="0" w:after="0"/>
        <w:ind w:left="0" w:right="0" w:hanging="0"/>
        <w:jc w:val="righ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Приложение к муниципальной программе</w:t>
      </w:r>
    </w:p>
    <w:p>
      <w:pPr>
        <w:pStyle w:val="Normal"/>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     </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Ликвидация мест концентрации ДТП</w:t>
      </w:r>
    </w:p>
    <w:p>
      <w:pPr>
        <w:pStyle w:val="Normal"/>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bl>
      <w:tblPr>
        <w:tblStyle w:val="1"/>
        <w:tblW w:w="15075"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565"/>
        <w:gridCol w:w="3375"/>
        <w:gridCol w:w="6805"/>
        <w:gridCol w:w="4329"/>
      </w:tblGrid>
      <w:tr>
        <w:trPr/>
        <w:tc>
          <w:tcPr>
            <w:tcW w:w="56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 xml:space="preserve">№ </w:t>
            </w:r>
            <w:r>
              <w:rPr>
                <w:rFonts w:ascii="PT Astra Serif" w:hAnsi="PT Astra Serif"/>
                <w:b w:val="false"/>
                <w:bCs w:val="false"/>
                <w:i w:val="false"/>
                <w:iCs w:val="false"/>
                <w:kern w:val="0"/>
                <w:sz w:val="28"/>
                <w:szCs w:val="28"/>
                <w:lang w:val="ru-RU" w:bidi="ar-SA"/>
              </w:rPr>
              <w:t>п/п</w:t>
            </w:r>
          </w:p>
        </w:tc>
        <w:tc>
          <w:tcPr>
            <w:tcW w:w="337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Адрес МК ДТП</w:t>
            </w:r>
          </w:p>
        </w:tc>
        <w:tc>
          <w:tcPr>
            <w:tcW w:w="680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Предлагаемые мероприятия</w:t>
            </w:r>
          </w:p>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 xml:space="preserve"> </w:t>
            </w:r>
            <w:r>
              <w:rPr>
                <w:rFonts w:ascii="PT Astra Serif" w:hAnsi="PT Astra Serif"/>
                <w:b w:val="false"/>
                <w:bCs w:val="false"/>
                <w:i w:val="false"/>
                <w:iCs w:val="false"/>
                <w:kern w:val="0"/>
                <w:sz w:val="28"/>
                <w:szCs w:val="28"/>
                <w:lang w:val="ru-RU" w:bidi="ar-SA"/>
              </w:rPr>
              <w:t>по снижению аварийности</w:t>
            </w:r>
          </w:p>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432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Источник финансирования муниципальной программы</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lineRule="auto" w:line="276" w:before="0" w:after="20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Проспект М. Джалиля –  улица Батенчука</w:t>
            </w:r>
          </w:p>
        </w:tc>
        <w:tc>
          <w:tcPr>
            <w:tcW w:w="6805" w:type="dxa"/>
            <w:tcBorders>
              <w:left w:val="single" w:sz="2" w:space="0" w:color="000000"/>
              <w:bottom w:val="single" w:sz="2" w:space="0" w:color="000000"/>
            </w:tcBorders>
            <w:shd w:color="auto" w:fill="auto" w:val="clear"/>
            <w:vAlign w:val="center"/>
          </w:tcPr>
          <w:p>
            <w:pPr>
              <w:pStyle w:val="ListParagraph"/>
              <w:keepNext w:val="true"/>
              <w:widowControl w:val="false"/>
              <w:numPr>
                <w:ilvl w:val="0"/>
                <w:numId w:val="0"/>
              </w:numPr>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ListParagraph"/>
              <w:keepNext w:val="true"/>
              <w:widowControl w:val="false"/>
              <w:numPr>
                <w:ilvl w:val="0"/>
                <w:numId w:val="0"/>
              </w:numPr>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1. Введение пятисекундной задержки красного сигнала светофора во всех направлениях.</w:t>
            </w:r>
          </w:p>
          <w:p>
            <w:pPr>
              <w:pStyle w:val="ListParagraph"/>
              <w:keepNext w:val="true"/>
              <w:widowControl w:val="false"/>
              <w:numPr>
                <w:ilvl w:val="0"/>
                <w:numId w:val="0"/>
              </w:numPr>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lang w:eastAsia="en-US"/>
              </w:rPr>
              <w:t>2. Установка шумовых полос по проспекту М. Джалиля.</w:t>
            </w:r>
          </w:p>
          <w:p>
            <w:pPr>
              <w:pStyle w:val="ListParagraph"/>
              <w:keepNext w:val="true"/>
              <w:widowControl w:val="false"/>
              <w:numPr>
                <w:ilvl w:val="0"/>
                <w:numId w:val="0"/>
              </w:numPr>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lang w:eastAsia="en-US"/>
              </w:rPr>
              <w:t>3. По улице</w:t>
            </w:r>
            <w:bookmarkStart w:id="0" w:name="_GoBack_Копия_1_Копия_1_Копия_1_Копия_1"/>
            <w:bookmarkEnd w:id="0"/>
            <w:r>
              <w:rPr>
                <w:rFonts w:ascii="PT Astra Serif" w:hAnsi="PT Astra Serif"/>
                <w:b w:val="false"/>
                <w:bCs w:val="false"/>
                <w:i w:val="false"/>
                <w:iCs w:val="false"/>
                <w:sz w:val="28"/>
                <w:szCs w:val="28"/>
                <w:shd w:fill="FFFFFF" w:val="clear"/>
                <w:lang w:eastAsia="en-US"/>
              </w:rPr>
              <w:t xml:space="preserve"> Батенчука со стороны улицы Ямашева:</w:t>
            </w:r>
          </w:p>
          <w:p>
            <w:pPr>
              <w:pStyle w:val="ListParagraph"/>
              <w:keepNext w:val="true"/>
              <w:widowControl w:val="false"/>
              <w:numPr>
                <w:ilvl w:val="0"/>
                <w:numId w:val="0"/>
              </w:numPr>
              <w:suppressAutoHyphens w:val="true"/>
              <w:spacing w:lineRule="auto" w:line="240" w:before="0" w:after="0"/>
              <w:ind w:left="0" w:right="0" w:hanging="0"/>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lang w:eastAsia="en-US"/>
              </w:rPr>
              <w:t>1) нанесение шумовых полос;</w:t>
            </w:r>
          </w:p>
          <w:p>
            <w:pPr>
              <w:pStyle w:val="ListParagraph"/>
              <w:keepNext w:val="true"/>
              <w:widowControl w:val="false"/>
              <w:suppressAutoHyphens w:val="true"/>
              <w:spacing w:lineRule="auto" w:line="240" w:before="0" w:after="0"/>
              <w:ind w:left="33"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2) установка дорожного знака 3.24 «Ограничение максимальной скорости 40 км/час» перед нерегулируемым пешеходным переходом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3) у</w:t>
            </w:r>
            <w:r>
              <w:rPr>
                <w:rFonts w:ascii="PT Astra Serif" w:hAnsi="PT Astra Serif"/>
                <w:b w:val="false"/>
                <w:bCs w:val="false"/>
                <w:i w:val="false"/>
                <w:iCs w:val="false"/>
                <w:sz w:val="28"/>
                <w:szCs w:val="28"/>
                <w:shd w:fill="FFFFFF" w:val="clear"/>
              </w:rPr>
              <w:t>становка дорожного знака 1.17 «Искусственная неровность»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4. По проспекту М. Джалиля со стороны улицы Гидростроителей установка дорожного знака 3.24 «Ограничение максимальной скорости 40 км/час» перед перекрестком – 2 шт.</w:t>
            </w:r>
          </w:p>
          <w:p>
            <w:pPr>
              <w:pStyle w:val="Normal"/>
              <w:keepNext w:val="true"/>
              <w:widowControl w:val="false"/>
              <w:suppressAutoHyphens w:val="true"/>
              <w:spacing w:lineRule="auto" w:line="240" w:before="0" w:after="0"/>
              <w:ind w:left="0" w:right="0" w:hanging="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shd w:fill="FFFFFF" w:val="clear"/>
                <w:lang w:val="ru-RU" w:bidi="ar-SA"/>
              </w:rPr>
              <w:t>Местный бюджет</w:t>
            </w:r>
          </w:p>
        </w:tc>
      </w:tr>
      <w:tr>
        <w:trPr>
          <w:trHeight w:val="1703" w:hRule="atLeast"/>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Проспект Яшьлек – улица  40 лет Победы</w:t>
            </w:r>
          </w:p>
        </w:tc>
        <w:tc>
          <w:tcPr>
            <w:tcW w:w="6805" w:type="dxa"/>
            <w:tcBorders>
              <w:left w:val="single" w:sz="2" w:space="0" w:color="000000"/>
              <w:bottom w:val="single" w:sz="2" w:space="0" w:color="000000"/>
            </w:tcBorders>
            <w:shd w:color="auto" w:fill="auto" w:val="clear"/>
            <w:vAlign w:val="center"/>
          </w:tcPr>
          <w:p>
            <w:pPr>
              <w:pStyle w:val="ListParagraph"/>
              <w:keepNext w:val="true"/>
              <w:widowControl w:val="false"/>
              <w:numPr>
                <w:ilvl w:val="0"/>
                <w:numId w:val="0"/>
              </w:numPr>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Введение пятисекундной задержки красного сигнала светофора во всех направлениях</w:t>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shd w:fill="FFFFFF" w:val="clear"/>
                <w:lang w:val="ru-RU" w:bidi="ar-SA"/>
              </w:rPr>
              <w:t>Местный бюджет</w:t>
            </w:r>
          </w:p>
        </w:tc>
      </w:tr>
    </w:tbl>
    <w:p>
      <w:pPr>
        <w:pStyle w:val="Normal"/>
        <w:rPr/>
      </w:pPr>
      <w:r>
        <w:rPr/>
      </w:r>
    </w:p>
    <w:tbl>
      <w:tblPr>
        <w:tblStyle w:val="1"/>
        <w:tblW w:w="15075"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565"/>
        <w:gridCol w:w="3375"/>
        <w:gridCol w:w="6805"/>
        <w:gridCol w:w="4329"/>
      </w:tblGrid>
      <w:tr>
        <w:trPr/>
        <w:tc>
          <w:tcPr>
            <w:tcW w:w="56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Проспект Чулман – проспект Х. Туфана</w:t>
            </w:r>
          </w:p>
        </w:tc>
        <w:tc>
          <w:tcPr>
            <w:tcW w:w="6805" w:type="dxa"/>
            <w:tcBorders>
              <w:top w:val="single" w:sz="2" w:space="0" w:color="000000"/>
              <w:left w:val="single" w:sz="2" w:space="0" w:color="000000"/>
              <w:bottom w:val="single" w:sz="2" w:space="0" w:color="000000"/>
            </w:tcBorders>
            <w:shd w:color="auto" w:fill="auto" w:val="clear"/>
            <w:vAlign w:val="center"/>
          </w:tcPr>
          <w:p>
            <w:pPr>
              <w:pStyle w:val="ListParagraph"/>
              <w:keepNext w:val="true"/>
              <w:widowControl w:val="false"/>
              <w:numPr>
                <w:ilvl w:val="0"/>
                <w:numId w:val="0"/>
              </w:numPr>
              <w:suppressAutoHyphens w:val="true"/>
              <w:spacing w:lineRule="auto" w:line="240" w:before="0" w:after="0"/>
              <w:ind w:left="66" w:right="0" w:hanging="0"/>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ListParagraph"/>
              <w:keepNext w:val="true"/>
              <w:widowControl w:val="false"/>
              <w:numPr>
                <w:ilvl w:val="0"/>
                <w:numId w:val="0"/>
              </w:numPr>
              <w:suppressAutoHyphens w:val="true"/>
              <w:spacing w:lineRule="auto" w:line="240" w:before="0" w:after="0"/>
              <w:ind w:left="0" w:right="0" w:hanging="0"/>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1. Введение пятисекундной задержки красного сигнала светофора во всех направлениях.</w:t>
            </w:r>
          </w:p>
          <w:p>
            <w:pPr>
              <w:pStyle w:val="ListParagraph"/>
              <w:keepNext w:val="true"/>
              <w:widowControl w:val="false"/>
              <w:suppressAutoHyphens w:val="true"/>
              <w:bidi w:val="0"/>
              <w:spacing w:lineRule="auto" w:line="240" w:before="0" w:after="0"/>
              <w:ind w:left="708"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2. По проспекту Х. Туфана:</w:t>
            </w:r>
          </w:p>
          <w:p>
            <w:pPr>
              <w:pStyle w:val="ListParagraph"/>
              <w:keepNext w:val="true"/>
              <w:widowControl w:val="false"/>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1) нанесение  шумовых полос;</w:t>
            </w:r>
          </w:p>
          <w:p>
            <w:pPr>
              <w:pStyle w:val="ListParagraph"/>
              <w:keepNext w:val="true"/>
              <w:widowControl w:val="false"/>
              <w:suppressAutoHyphens w:val="true"/>
              <w:spacing w:lineRule="auto" w:line="240" w:before="0" w:after="0"/>
              <w:ind w:left="33"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2) установка дорожного знака 3.24 «Ограничение максимальной скорости 40 км/час» – 4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3) у</w:t>
            </w:r>
            <w:r>
              <w:rPr>
                <w:rFonts w:ascii="PT Astra Serif" w:hAnsi="PT Astra Serif"/>
                <w:b w:val="false"/>
                <w:bCs w:val="false"/>
                <w:i w:val="false"/>
                <w:iCs w:val="false"/>
                <w:sz w:val="28"/>
                <w:szCs w:val="28"/>
                <w:shd w:fill="FFFFFF" w:val="clear"/>
              </w:rPr>
              <w:t>становка дорожного знака 1.16 «Неровная дорога» в обоих направлениях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shd w:fill="FFFFFF" w:val="clear"/>
              </w:rPr>
              <w:t>3. По проспекту Чулман со стороны 13 комплекса перенос дорожных знаков 3.24 «Ограничение максимальной скорости 40 км/час» и 1.16 «Неровная дорога» (установка перед шумовыми полосами)</w:t>
            </w:r>
          </w:p>
          <w:p>
            <w:pPr>
              <w:pStyle w:val="ListParagraph"/>
              <w:keepNext w:val="true"/>
              <w:widowControl w:val="false"/>
              <w:numPr>
                <w:ilvl w:val="0"/>
                <w:numId w:val="0"/>
              </w:numPr>
              <w:suppressAutoHyphens w:val="true"/>
              <w:spacing w:lineRule="auto" w:line="240" w:before="0" w:after="0"/>
              <w:ind w:left="66" w:right="0" w:hanging="0"/>
              <w:contextualSpacing/>
              <w:jc w:val="both"/>
              <w:rPr>
                <w:rFonts w:ascii="PT Astra Serif" w:hAnsi="PT Astra Serif"/>
                <w:b w:val="false"/>
                <w:bCs w:val="false"/>
                <w:i w:val="false"/>
                <w:i w:val="false"/>
                <w:iCs w:val="false"/>
                <w:sz w:val="28"/>
                <w:szCs w:val="28"/>
                <w:highlight w:val="none"/>
                <w:shd w:fill="FFFFFF" w:val="clear"/>
              </w:rPr>
            </w:pPr>
            <w:r>
              <w:rPr>
                <w:rFonts w:ascii="PT Astra Serif" w:hAnsi="PT Astra Serif"/>
                <w:b w:val="false"/>
                <w:bCs w:val="false"/>
                <w:i w:val="false"/>
                <w:iCs w:val="false"/>
                <w:sz w:val="28"/>
                <w:szCs w:val="28"/>
                <w:shd w:fill="FFFFFF" w:val="clear"/>
              </w:rPr>
            </w:r>
          </w:p>
        </w:tc>
        <w:tc>
          <w:tcPr>
            <w:tcW w:w="432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shd w:fill="FFFFFF" w:val="clear"/>
                <w:lang w:val="ru-RU" w:bidi="ar-SA"/>
              </w:rPr>
              <w:t>Местный бюджет</w:t>
            </w:r>
          </w:p>
        </w:tc>
      </w:tr>
      <w:tr>
        <w:trPr/>
        <w:tc>
          <w:tcPr>
            <w:tcW w:w="56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Мензелинский тракт, 1 (Орловское кольцо)</w:t>
            </w:r>
          </w:p>
          <w:p>
            <w:pPr>
              <w:pStyle w:val="Normal"/>
              <w:keepNext w:val="true"/>
              <w:widowControl w:val="false"/>
              <w:suppressAutoHyphens w:val="true"/>
              <w:spacing w:lineRule="auto" w:line="240" w:before="0" w:after="0"/>
              <w:jc w:val="center"/>
              <w:rPr>
                <w:rFonts w:ascii="PT Astra Serif" w:hAnsi="PT Astra Serif" w:cs="Times New Roman"/>
                <w:b w:val="false"/>
                <w:bCs w:val="false"/>
                <w:i w:val="false"/>
                <w:i w:val="false"/>
                <w:iCs w:val="false"/>
                <w:sz w:val="28"/>
                <w:szCs w:val="28"/>
                <w:highlight w:val="none"/>
                <w:shd w:fill="FFFFFF" w:val="clear"/>
              </w:rPr>
            </w:pPr>
            <w:r>
              <w:rPr>
                <w:rFonts w:cs="Times New Roman" w:ascii="PT Astra Serif" w:hAnsi="PT Astra Serif"/>
                <w:b w:val="false"/>
                <w:bCs w:val="false"/>
                <w:i w:val="false"/>
                <w:iCs w:val="false"/>
                <w:sz w:val="28"/>
                <w:szCs w:val="28"/>
                <w:shd w:fill="FFFFFF" w:val="clear"/>
              </w:rPr>
            </w:r>
          </w:p>
        </w:tc>
        <w:tc>
          <w:tcPr>
            <w:tcW w:w="6805" w:type="dxa"/>
            <w:tcBorders>
              <w:top w:val="single" w:sz="2" w:space="0" w:color="000000"/>
              <w:left w:val="single" w:sz="2" w:space="0" w:color="000000"/>
              <w:bottom w:val="single" w:sz="2" w:space="0" w:color="000000"/>
            </w:tcBorders>
            <w:shd w:color="auto" w:fill="auto" w:val="clear"/>
            <w:vAlign w:val="center"/>
          </w:tcPr>
          <w:p>
            <w:pPr>
              <w:pStyle w:val="ListParagraph"/>
              <w:keepNext w:val="true"/>
              <w:widowControl w:val="false"/>
              <w:numPr>
                <w:ilvl w:val="0"/>
                <w:numId w:val="0"/>
              </w:numPr>
              <w:suppressAutoHyphens w:val="true"/>
              <w:spacing w:lineRule="auto" w:line="240" w:before="0" w:after="0"/>
              <w:ind w:left="-10" w:right="0" w:hanging="0"/>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Введение пятисекундной задержки красного сигнала светофора во всех направлениях</w:t>
            </w:r>
          </w:p>
          <w:p>
            <w:pPr>
              <w:pStyle w:val="ListParagraph"/>
              <w:keepNext w:val="true"/>
              <w:widowControl w:val="false"/>
              <w:numPr>
                <w:ilvl w:val="0"/>
                <w:numId w:val="0"/>
              </w:numPr>
              <w:suppressAutoHyphens w:val="true"/>
              <w:spacing w:lineRule="auto" w:line="240" w:before="0" w:after="0"/>
              <w:ind w:left="350" w:right="0" w:hanging="0"/>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432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 xml:space="preserve">Улица  Машиностроительная, 29 (разворот) </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6805" w:type="dxa"/>
            <w:tcBorders>
              <w:left w:val="single" w:sz="2" w:space="0" w:color="000000"/>
              <w:bottom w:val="single" w:sz="2" w:space="0" w:color="000000"/>
            </w:tcBorders>
            <w:shd w:color="auto" w:fill="auto" w:val="clear"/>
            <w:vAlign w:val="center"/>
          </w:tcPr>
          <w:p>
            <w:pPr>
              <w:pStyle w:val="ListParagraph"/>
              <w:keepNext w:val="true"/>
              <w:widowControl w:val="false"/>
              <w:numPr>
                <w:ilvl w:val="0"/>
                <w:numId w:val="0"/>
              </w:numPr>
              <w:suppressAutoHyphens w:val="true"/>
              <w:spacing w:lineRule="auto" w:line="240" w:before="0" w:after="0"/>
              <w:ind w:left="0" w:right="0" w:hanging="0"/>
              <w:contextualSpacing/>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rPr>
              <w:t>Переустройство разворота</w:t>
            </w:r>
          </w:p>
        </w:tc>
        <w:tc>
          <w:tcPr>
            <w:tcW w:w="4329" w:type="dxa"/>
            <w:tcBorders>
              <w:left w:val="single" w:sz="2" w:space="0" w:color="000000"/>
              <w:bottom w:val="single" w:sz="2" w:space="0" w:color="000000"/>
              <w:right w:val="single" w:sz="2" w:space="0" w:color="000000"/>
            </w:tcBorders>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Местный бюджет</w:t>
            </w:r>
          </w:p>
        </w:tc>
      </w:tr>
    </w:tbl>
    <w:p>
      <w:pPr>
        <w:pStyle w:val="Normal"/>
        <w:rPr/>
      </w:pPr>
      <w:r>
        <w:rPr/>
      </w:r>
    </w:p>
    <w:tbl>
      <w:tblPr>
        <w:tblStyle w:val="1"/>
        <w:tblW w:w="15075"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565"/>
        <w:gridCol w:w="3375"/>
        <w:gridCol w:w="6805"/>
        <w:gridCol w:w="4329"/>
      </w:tblGrid>
      <w:tr>
        <w:trPr/>
        <w:tc>
          <w:tcPr>
            <w:tcW w:w="56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lang w:eastAsia="en-US"/>
              </w:rPr>
              <w:t>Улица Татарстан – улица Ш. Усманова</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680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По улице Татарстан:</w:t>
            </w:r>
          </w:p>
          <w:p>
            <w:pPr>
              <w:pStyle w:val="ListParagraph"/>
              <w:keepNext w:val="true"/>
              <w:widowControl w:val="false"/>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нанесение  шумовых полос;</w:t>
            </w:r>
          </w:p>
          <w:p>
            <w:pPr>
              <w:pStyle w:val="ListParagraph"/>
              <w:keepNext w:val="true"/>
              <w:widowControl w:val="false"/>
              <w:suppressAutoHyphens w:val="true"/>
              <w:spacing w:lineRule="auto" w:line="240" w:before="0" w:after="0"/>
              <w:ind w:left="33"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2) установка дорожного знака 3.24 «Ограничение максимальной скорости 40 км/час» – 4 шт. (размер 70);</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rPr>
              <w:t>3) у</w:t>
            </w:r>
            <w:r>
              <w:rPr>
                <w:rFonts w:ascii="PT Astra Serif" w:hAnsi="PT Astra Serif"/>
                <w:b w:val="false"/>
                <w:bCs w:val="false"/>
                <w:i w:val="false"/>
                <w:iCs w:val="false"/>
                <w:sz w:val="28"/>
                <w:szCs w:val="28"/>
              </w:rPr>
              <w:t>становка дорожного знака 1.16 «Неровная дорога» в обоих направлениях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 xml:space="preserve">4) нанесение дорожной разметки на перекрестке </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432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lang w:eastAsia="en-US"/>
              </w:rPr>
              <w:t xml:space="preserve">Улица Машиностроительная – проспект Вахитова (Вахитовское кольцо) </w:t>
            </w:r>
          </w:p>
        </w:tc>
        <w:tc>
          <w:tcPr>
            <w:tcW w:w="6805" w:type="dxa"/>
            <w:tcBorders>
              <w:top w:val="single" w:sz="2" w:space="0" w:color="000000"/>
              <w:left w:val="single" w:sz="2" w:space="0" w:color="000000"/>
              <w:bottom w:val="single" w:sz="2" w:space="0" w:color="000000"/>
            </w:tcBorders>
            <w:shd w:color="auto" w:fill="auto" w:val="clear"/>
            <w:vAlign w:val="center"/>
          </w:tcPr>
          <w:p>
            <w:pPr>
              <w:pStyle w:val="ListParagraph"/>
              <w:keepNext w:val="true"/>
              <w:widowControl w:val="false"/>
              <w:numPr>
                <w:ilvl w:val="0"/>
                <w:numId w:val="0"/>
              </w:numPr>
              <w:suppressAutoHyphens w:val="true"/>
              <w:bidi w:val="0"/>
              <w:spacing w:lineRule="auto" w:line="240" w:before="0" w:after="0"/>
              <w:ind w:left="0" w:right="113" w:hanging="0"/>
              <w:contextualSpacing/>
              <w:jc w:val="left"/>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Нанесение дорожной разметки 1.1 и 1.18, указывающих направление движения на кольцевом пересечении (термопластиком).</w:t>
            </w:r>
          </w:p>
          <w:p>
            <w:pPr>
              <w:pStyle w:val="ListParagraph"/>
              <w:keepNext w:val="true"/>
              <w:widowControl w:val="false"/>
              <w:numPr>
                <w:ilvl w:val="0"/>
                <w:numId w:val="0"/>
              </w:numPr>
              <w:suppressAutoHyphens w:val="true"/>
              <w:spacing w:lineRule="auto" w:line="240" w:before="0" w:after="0"/>
              <w:ind w:left="0" w:right="0" w:hanging="0"/>
              <w:contextualSpacing/>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2. Установка дорожного знака 5.15.1 «Направление движения по полосам» – 2 шт.</w:t>
            </w:r>
          </w:p>
          <w:p>
            <w:pPr>
              <w:pStyle w:val="Normal"/>
              <w:keepNext w:val="true"/>
              <w:widowControl w:val="false"/>
              <w:suppressAutoHyphens w:val="true"/>
              <w:spacing w:before="0" w:after="0"/>
              <w:ind w:left="33" w:right="0" w:hanging="0"/>
              <w:jc w:val="center"/>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tc>
        <w:tc>
          <w:tcPr>
            <w:tcW w:w="432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lang w:eastAsia="en-US"/>
              </w:rPr>
              <w:t>Улица Машиностроительная, 75 (ТЦ «Мегастрой»)</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680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before="0" w:after="0"/>
              <w:ind w:left="33" w:right="0" w:hanging="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ListParagraph"/>
              <w:keepNext w:val="true"/>
              <w:widowControl w:val="false"/>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Нанесение  шумовых полос до светофора</w:t>
            </w:r>
          </w:p>
          <w:p>
            <w:pPr>
              <w:pStyle w:val="Normal"/>
              <w:keepNext w:val="true"/>
              <w:widowControl w:val="false"/>
              <w:suppressAutoHyphens w:val="true"/>
              <w:spacing w:before="0" w:after="0"/>
              <w:ind w:left="33" w:right="0" w:hanging="0"/>
              <w:jc w:val="center"/>
              <w:rPr>
                <w:rFonts w:ascii="PT Astra Serif" w:hAnsi="PT Astra Serif"/>
                <w:b w:val="false"/>
                <w:bCs w:val="false"/>
                <w:i w:val="false"/>
                <w:i w:val="false"/>
                <w:iCs w:val="false"/>
                <w:sz w:val="28"/>
                <w:szCs w:val="28"/>
                <w:lang w:eastAsia="en-US"/>
              </w:rPr>
            </w:pPr>
            <w:r>
              <w:rPr>
                <w:rFonts w:ascii="PT Astra Serif" w:hAnsi="PT Astra Serif"/>
                <w:b w:val="false"/>
                <w:bCs w:val="false"/>
                <w:i w:val="false"/>
                <w:iCs w:val="false"/>
                <w:sz w:val="28"/>
                <w:szCs w:val="28"/>
                <w:lang w:eastAsia="en-US"/>
              </w:rPr>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lang w:eastAsia="en-US"/>
              </w:rPr>
              <w:t>Улица Машиностроительная, 96 стр.1 (рынок «Бархан»)</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6805" w:type="dxa"/>
            <w:tcBorders>
              <w:left w:val="single" w:sz="2" w:space="0" w:color="000000"/>
              <w:bottom w:val="single" w:sz="2" w:space="0" w:color="000000"/>
            </w:tcBorders>
            <w:shd w:color="auto" w:fill="auto" w:val="clear"/>
            <w:vAlign w:val="center"/>
          </w:tcPr>
          <w:p>
            <w:pPr>
              <w:pStyle w:val="ListParagraph"/>
              <w:keepNext w:val="true"/>
              <w:widowControl w:val="false"/>
              <w:suppressAutoHyphens w:val="true"/>
              <w:spacing w:lineRule="auto" w:line="240" w:before="0" w:after="0"/>
              <w:ind w:left="708"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Нанесение дорожной разметки 1.1 и 1.18, указывающих направление движения (термопластиком)</w:t>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bl>
    <w:p>
      <w:pPr>
        <w:pStyle w:val="Normal"/>
        <w:rPr/>
      </w:pPr>
      <w:r>
        <w:rPr/>
      </w:r>
    </w:p>
    <w:tbl>
      <w:tblPr>
        <w:tblStyle w:val="1"/>
        <w:tblW w:w="15075" w:type="dxa"/>
        <w:jc w:val="left"/>
        <w:tblInd w:w="279" w:type="dxa"/>
        <w:tblLayout w:type="fixed"/>
        <w:tblCellMar>
          <w:top w:w="0" w:type="dxa"/>
          <w:left w:w="108" w:type="dxa"/>
          <w:bottom w:w="0" w:type="dxa"/>
          <w:right w:w="108" w:type="dxa"/>
        </w:tblCellMar>
        <w:tblLook w:val="04a0" w:noHBand="0" w:noVBand="1" w:firstColumn="1" w:lastRow="0" w:lastColumn="0" w:firstRow="1"/>
      </w:tblPr>
      <w:tblGrid>
        <w:gridCol w:w="565"/>
        <w:gridCol w:w="3375"/>
        <w:gridCol w:w="6805"/>
        <w:gridCol w:w="4329"/>
      </w:tblGrid>
      <w:tr>
        <w:trPr>
          <w:trHeight w:val="868" w:hRule="atLeast"/>
        </w:trPr>
        <w:tc>
          <w:tcPr>
            <w:tcW w:w="56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top w:val="single" w:sz="2" w:space="0" w:color="000000"/>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lang w:eastAsia="en-US"/>
              </w:rPr>
              <w:t>Проспект М. Джалиля – а/о  «Центральная»</w:t>
            </w:r>
          </w:p>
        </w:tc>
        <w:tc>
          <w:tcPr>
            <w:tcW w:w="6805" w:type="dxa"/>
            <w:tcBorders>
              <w:top w:val="single" w:sz="2" w:space="0" w:color="000000"/>
              <w:left w:val="single" w:sz="2" w:space="0" w:color="000000"/>
              <w:bottom w:val="single" w:sz="2" w:space="0" w:color="000000"/>
            </w:tcBorders>
            <w:shd w:color="auto" w:fill="auto" w:val="clear"/>
            <w:vAlign w:val="center"/>
          </w:tcPr>
          <w:p>
            <w:pPr>
              <w:pStyle w:val="ListParagraph"/>
              <w:keepNext w:val="true"/>
              <w:widowControl w:val="false"/>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lang w:eastAsia="en-US"/>
              </w:rPr>
              <w:t>Нанесение  шумовых полос</w:t>
            </w:r>
          </w:p>
        </w:tc>
        <w:tc>
          <w:tcPr>
            <w:tcW w:w="432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lineRule="auto" w:line="276" w:before="0" w:after="20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Проспект Набережночелнинский – а/о «Челныгорстрой»</w:t>
            </w:r>
          </w:p>
        </w:tc>
        <w:tc>
          <w:tcPr>
            <w:tcW w:w="680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По проспекту Набережночелнинский:</w:t>
            </w:r>
          </w:p>
          <w:p>
            <w:pPr>
              <w:pStyle w:val="ListParagraph"/>
              <w:keepNext w:val="true"/>
              <w:widowControl w:val="false"/>
              <w:suppressAutoHyphens w:val="true"/>
              <w:spacing w:lineRule="auto" w:line="240" w:before="0" w:after="0"/>
              <w:ind w:left="0"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нанесение  шумовых полос;</w:t>
            </w:r>
          </w:p>
          <w:p>
            <w:pPr>
              <w:pStyle w:val="ListParagraph"/>
              <w:keepNext w:val="true"/>
              <w:widowControl w:val="false"/>
              <w:suppressAutoHyphens w:val="true"/>
              <w:spacing w:lineRule="auto" w:line="240" w:before="0" w:after="0"/>
              <w:ind w:left="33"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2) установка дорожного знака 3.24 «Ограничение максимальной скорости 40 км/час» - 4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rPr>
              <w:t>3) у</w:t>
            </w:r>
            <w:r>
              <w:rPr>
                <w:rFonts w:ascii="PT Astra Serif" w:hAnsi="PT Astra Serif"/>
                <w:b w:val="false"/>
                <w:bCs w:val="false"/>
                <w:i w:val="false"/>
                <w:iCs w:val="false"/>
                <w:sz w:val="28"/>
                <w:szCs w:val="28"/>
              </w:rPr>
              <w:t>становка дорожного знака 1.16 «Неровная дорога» в обоих направлениях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Улица КАМАЗ-Мастер, 11</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680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lang w:eastAsia="en-US"/>
              </w:rPr>
              <w:t xml:space="preserve">Установка дорожного знака </w:t>
            </w:r>
            <w:r>
              <w:rPr>
                <w:rFonts w:ascii="PT Astra Serif" w:hAnsi="PT Astra Serif"/>
                <w:b w:val="false"/>
                <w:bCs w:val="false"/>
                <w:i w:val="false"/>
                <w:iCs w:val="false"/>
                <w:sz w:val="28"/>
                <w:szCs w:val="28"/>
                <w:lang w:eastAsia="en-US"/>
              </w:rPr>
              <w:t xml:space="preserve">3.24 «Ограничение максимальной скорости 40 км/час» </w:t>
            </w:r>
            <w:r>
              <w:rPr>
                <w:rFonts w:cs="Times New Roman" w:ascii="PT Astra Serif" w:hAnsi="PT Astra Serif"/>
                <w:b w:val="false"/>
                <w:bCs w:val="false"/>
                <w:i w:val="false"/>
                <w:iCs w:val="false"/>
                <w:sz w:val="28"/>
                <w:szCs w:val="28"/>
                <w:lang w:eastAsia="en-US"/>
              </w:rPr>
              <w:t>перед каждым пешеходным переходом – 6 шт.</w:t>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 xml:space="preserve">Проспект </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М. Джалиля, 53 – «Камснаб»</w:t>
            </w:r>
          </w:p>
        </w:tc>
        <w:tc>
          <w:tcPr>
            <w:tcW w:w="680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1.Местный проезд по проспекту М. Джалиля со стороны 9 комплекса:</w:t>
            </w:r>
          </w:p>
          <w:p>
            <w:pPr>
              <w:pStyle w:val="ListParagraph"/>
              <w:keepNext w:val="true"/>
              <w:widowControl w:val="false"/>
              <w:suppressAutoHyphens w:val="true"/>
              <w:spacing w:lineRule="auto" w:line="240" w:before="0" w:after="0"/>
              <w:ind w:left="33"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установка дорожного знака 3.24 «Ограничение максимальной скорости 40 км/час»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rPr>
              <w:t>2) у</w:t>
            </w:r>
            <w:r>
              <w:rPr>
                <w:rFonts w:ascii="PT Astra Serif" w:hAnsi="PT Astra Serif"/>
                <w:b w:val="false"/>
                <w:bCs w:val="false"/>
                <w:i w:val="false"/>
                <w:iCs w:val="false"/>
                <w:sz w:val="28"/>
                <w:szCs w:val="28"/>
              </w:rPr>
              <w:t>становка дорожного знака 1.17 «Искусственная неровность»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3) установка дорожного знака 5.20 «Искусственная неровность»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4) установка дорожного знака 1.23 «Дети»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5) установка дорожного знака 8.2.1 «Зона действия»;</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6) установка дорожного знака 3.25  «Конец зоны  ограничения максимальной скорости»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7) устройства искусственной дорожной неровности перед пешеходным переходом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2. Местный проезд проспекта М. Джалиля со стороны 10 комплекса:</w:t>
            </w:r>
          </w:p>
          <w:p>
            <w:pPr>
              <w:pStyle w:val="ListParagraph"/>
              <w:keepNext w:val="true"/>
              <w:widowControl w:val="false"/>
              <w:suppressAutoHyphens w:val="true"/>
              <w:spacing w:lineRule="auto" w:line="240" w:before="0" w:after="0"/>
              <w:ind w:left="33" w:right="0" w:hanging="0"/>
              <w:contextualSpacing/>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1) установка дорожного знака 3.24 «Ограничение максимальной скорости 40 км/час»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rPr>
              <w:t>2) у</w:t>
            </w:r>
            <w:r>
              <w:rPr>
                <w:rFonts w:ascii="PT Astra Serif" w:hAnsi="PT Astra Serif"/>
                <w:b w:val="false"/>
                <w:bCs w:val="false"/>
                <w:i w:val="false"/>
                <w:iCs w:val="false"/>
                <w:sz w:val="28"/>
                <w:szCs w:val="28"/>
              </w:rPr>
              <w:t>становка дорожного знака 1.17 «Искусственная неровность»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3) установка дорожного знака 5.20 «Искусственная неровность» – 4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4) установка дорожного знака 1.23 «Дети» – 4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5) установка дорожного знака 8.2.1 «Зона действия»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6) установка дорожного знака 3.25  «Конец зоны  ограничения максимальной скорости» – 2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7) устройство искусственной дорожной неровности перед пешеходным переходом – 1 шт.</w:t>
            </w:r>
          </w:p>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r>
        <w:trPr/>
        <w:tc>
          <w:tcPr>
            <w:tcW w:w="565" w:type="dxa"/>
            <w:tcBorders>
              <w:left w:val="single" w:sz="2" w:space="0" w:color="000000"/>
              <w:bottom w:val="single" w:sz="2" w:space="0" w:color="000000"/>
            </w:tcBorders>
            <w:shd w:color="auto" w:fill="auto" w:val="clear"/>
            <w:vAlign w:val="center"/>
          </w:tcPr>
          <w:p>
            <w:pPr>
              <w:pStyle w:val="Normal"/>
              <w:keepNext w:val="true"/>
              <w:widowControl w:val="false"/>
              <w:numPr>
                <w:ilvl w:val="0"/>
                <w:numId w:val="1"/>
              </w:numPr>
              <w:suppressAutoHyphens w:val="true"/>
              <w:spacing w:before="0" w:after="0"/>
              <w:ind w:left="0" w:right="0" w:hanging="0"/>
              <w:contextualSpacing/>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337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cs="Times New Roman" w:ascii="PT Astra Serif" w:hAnsi="PT Astra Serif"/>
                <w:b w:val="false"/>
                <w:bCs w:val="false"/>
                <w:i w:val="false"/>
                <w:iCs w:val="false"/>
                <w:sz w:val="28"/>
                <w:szCs w:val="28"/>
                <w:shd w:fill="FFFFFF" w:val="clear"/>
              </w:rPr>
              <w:t xml:space="preserve">Проспект Хасана Туфана, д. </w:t>
            </w:r>
            <w:bookmarkStart w:id="1" w:name="_GoBack_Копия_1_Копия_1"/>
            <w:bookmarkEnd w:id="1"/>
            <w:r>
              <w:rPr>
                <w:rFonts w:cs="Times New Roman" w:ascii="PT Astra Serif" w:hAnsi="PT Astra Serif"/>
                <w:b w:val="false"/>
                <w:bCs w:val="false"/>
                <w:i w:val="false"/>
                <w:iCs w:val="false"/>
                <w:sz w:val="28"/>
                <w:szCs w:val="28"/>
                <w:shd w:fill="FFFFFF" w:val="clear"/>
              </w:rPr>
              <w:t>22/9</w:t>
            </w:r>
          </w:p>
          <w:p>
            <w:pPr>
              <w:pStyle w:val="Normal"/>
              <w:keepNext w:val="true"/>
              <w:widowControl w:val="false"/>
              <w:suppressAutoHyphens w:val="true"/>
              <w:spacing w:lineRule="auto" w:line="240"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tc>
        <w:tc>
          <w:tcPr>
            <w:tcW w:w="6805" w:type="dxa"/>
            <w:tcBorders>
              <w:left w:val="single" w:sz="2" w:space="0" w:color="000000"/>
              <w:bottom w:val="single" w:sz="2" w:space="0" w:color="000000"/>
            </w:tcBorders>
            <w:shd w:color="auto" w:fill="auto" w:val="clear"/>
            <w:vAlign w:val="center"/>
          </w:tcPr>
          <w:p>
            <w:pPr>
              <w:pStyle w:val="Normal"/>
              <w:keepNext w:val="true"/>
              <w:widowControl w:val="false"/>
              <w:suppressAutoHyphens w:val="true"/>
              <w:spacing w:lineRule="auto" w:line="240" w:before="0" w:after="0"/>
              <w:jc w:val="both"/>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t>Закрытие разворота</w:t>
            </w:r>
          </w:p>
        </w:tc>
        <w:tc>
          <w:tcPr>
            <w:tcW w:w="4329" w:type="dxa"/>
            <w:tcBorders>
              <w:left w:val="single" w:sz="2" w:space="0" w:color="000000"/>
              <w:bottom w:val="single" w:sz="2" w:space="0" w:color="000000"/>
              <w:right w:val="single" w:sz="2" w:space="0" w:color="000000"/>
            </w:tcBorders>
            <w:shd w:color="auto" w:fill="auto" w:val="clear"/>
            <w:vAlign w:val="center"/>
          </w:tcPr>
          <w:p>
            <w:pPr>
              <w:pStyle w:val="Normal"/>
              <w:keepNext w:val="true"/>
              <w:widowControl w:val="false"/>
              <w:suppressAutoHyphens w:val="true"/>
              <w:spacing w:before="0" w:after="0"/>
              <w:jc w:val="center"/>
              <w:rPr>
                <w:rFonts w:ascii="PT Astra Serif" w:hAnsi="PT Astra Serif"/>
                <w:b w:val="false"/>
                <w:bCs w:val="false"/>
                <w:i w:val="false"/>
                <w:i w:val="false"/>
                <w:iCs w:val="false"/>
                <w:sz w:val="28"/>
                <w:szCs w:val="28"/>
              </w:rPr>
            </w:pPr>
            <w:r>
              <w:rPr>
                <w:rFonts w:ascii="PT Astra Serif" w:hAnsi="PT Astra Serif"/>
                <w:b w:val="false"/>
                <w:bCs w:val="false"/>
                <w:i w:val="false"/>
                <w:iCs w:val="false"/>
                <w:kern w:val="0"/>
                <w:sz w:val="28"/>
                <w:szCs w:val="28"/>
                <w:lang w:val="ru-RU" w:bidi="ar-SA"/>
              </w:rPr>
              <w:t>Местный бюджет</w:t>
            </w:r>
          </w:p>
        </w:tc>
      </w:tr>
    </w:tbl>
    <w:p>
      <w:pPr>
        <w:pStyle w:val="Normal"/>
        <w:numPr>
          <w:ilvl w:val="0"/>
          <w:numId w:val="0"/>
        </w:numPr>
        <w:ind w:left="142" w:hanging="0"/>
        <w:outlineLvl w:val="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numPr>
          <w:ilvl w:val="0"/>
          <w:numId w:val="0"/>
        </w:numPr>
        <w:ind w:left="142" w:hanging="0"/>
        <w:outlineLvl w:val="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numPr>
          <w:ilvl w:val="0"/>
          <w:numId w:val="0"/>
        </w:numPr>
        <w:ind w:left="142" w:hanging="0"/>
        <w:outlineLvl w:val="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p>
      <w:pPr>
        <w:pStyle w:val="Normal"/>
        <w:numPr>
          <w:ilvl w:val="0"/>
          <w:numId w:val="0"/>
        </w:numPr>
        <w:ind w:left="0" w:hanging="0"/>
        <w:outlineLvl w:val="0"/>
        <w:rPr>
          <w:rFonts w:ascii="PT Astra Serif" w:hAnsi="PT Astra Serif"/>
          <w:b w:val="false"/>
          <w:bCs w:val="false"/>
          <w:i w:val="false"/>
          <w:i w:val="false"/>
          <w:iCs w:val="false"/>
          <w:sz w:val="28"/>
          <w:szCs w:val="28"/>
        </w:rPr>
      </w:pPr>
      <w:r>
        <w:rPr>
          <w:rFonts w:ascii="PT Astra Serif" w:hAnsi="PT Astra Serif"/>
          <w:b w:val="false"/>
          <w:bCs w:val="false"/>
          <w:i w:val="false"/>
          <w:iCs w:val="false"/>
          <w:sz w:val="28"/>
          <w:szCs w:val="28"/>
        </w:rPr>
      </w:r>
    </w:p>
    <w:sectPr>
      <w:footerReference w:type="default" r:id="rId7"/>
      <w:footerReference w:type="first" r:id="rId8"/>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2" w:hanging="360"/>
      </w:pPr>
      <w:rPr/>
    </w:lvl>
    <w:lvl w:ilvl="1">
      <w:start w:val="1"/>
      <w:numFmt w:val="lowerLetter"/>
      <w:lvlText w:val="%2."/>
      <w:lvlJc w:val="left"/>
      <w:pPr>
        <w:tabs>
          <w:tab w:val="num" w:pos="0"/>
        </w:tabs>
        <w:ind w:left="1013" w:hanging="360"/>
      </w:pPr>
      <w:rPr/>
    </w:lvl>
    <w:lvl w:ilvl="2">
      <w:start w:val="1"/>
      <w:numFmt w:val="lowerRoman"/>
      <w:lvlText w:val="%3."/>
      <w:lvlJc w:val="right"/>
      <w:pPr>
        <w:tabs>
          <w:tab w:val="num" w:pos="0"/>
        </w:tabs>
        <w:ind w:left="1733" w:hanging="180"/>
      </w:pPr>
      <w:rPr/>
    </w:lvl>
    <w:lvl w:ilvl="3">
      <w:start w:val="1"/>
      <w:numFmt w:val="decimal"/>
      <w:lvlText w:val="%4."/>
      <w:lvlJc w:val="left"/>
      <w:pPr>
        <w:tabs>
          <w:tab w:val="num" w:pos="0"/>
        </w:tabs>
        <w:ind w:left="2453" w:hanging="360"/>
      </w:pPr>
      <w:rPr/>
    </w:lvl>
    <w:lvl w:ilvl="4">
      <w:start w:val="1"/>
      <w:numFmt w:val="lowerLetter"/>
      <w:lvlText w:val="%5."/>
      <w:lvlJc w:val="left"/>
      <w:pPr>
        <w:tabs>
          <w:tab w:val="num" w:pos="0"/>
        </w:tabs>
        <w:ind w:left="3173" w:hanging="360"/>
      </w:pPr>
      <w:rPr/>
    </w:lvl>
    <w:lvl w:ilvl="5">
      <w:start w:val="1"/>
      <w:numFmt w:val="lowerRoman"/>
      <w:lvlText w:val="%6."/>
      <w:lvlJc w:val="right"/>
      <w:pPr>
        <w:tabs>
          <w:tab w:val="num" w:pos="0"/>
        </w:tabs>
        <w:ind w:left="3893" w:hanging="180"/>
      </w:pPr>
      <w:rPr/>
    </w:lvl>
    <w:lvl w:ilvl="6">
      <w:start w:val="1"/>
      <w:numFmt w:val="decimal"/>
      <w:lvlText w:val="%7."/>
      <w:lvlJc w:val="left"/>
      <w:pPr>
        <w:tabs>
          <w:tab w:val="num" w:pos="0"/>
        </w:tabs>
        <w:ind w:left="4613" w:hanging="360"/>
      </w:pPr>
      <w:rPr/>
    </w:lvl>
    <w:lvl w:ilvl="7">
      <w:start w:val="1"/>
      <w:numFmt w:val="lowerLetter"/>
      <w:lvlText w:val="%8."/>
      <w:lvlJc w:val="left"/>
      <w:pPr>
        <w:tabs>
          <w:tab w:val="num" w:pos="0"/>
        </w:tabs>
        <w:ind w:left="5333" w:hanging="360"/>
      </w:pPr>
      <w:rPr/>
    </w:lvl>
    <w:lvl w:ilvl="8">
      <w:start w:val="1"/>
      <w:numFmt w:val="lowerRoman"/>
      <w:lvlText w:val="%9."/>
      <w:lvlJc w:val="right"/>
      <w:pPr>
        <w:tabs>
          <w:tab w:val="num" w:pos="0"/>
        </w:tabs>
        <w:ind w:left="6053"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27a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Style16"/>
    <w:next w:val="Style17"/>
    <w:qFormat/>
    <w:pPr>
      <w:spacing w:before="240" w:after="120"/>
      <w:outlineLvl w:val="0"/>
    </w:pPr>
    <w:rPr>
      <w:rFonts w:ascii="Liberation Serif" w:hAnsi="Liberation Serif" w:eastAsia="Tahoma" w:cs="Tahoma"/>
      <w:b/>
      <w:bCs/>
      <w:sz w:val="48"/>
      <w:szCs w:val="4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890628"/>
    <w:rPr>
      <w:rFonts w:ascii="Segoe UI" w:hAnsi="Segoe UI" w:cs="Segoe UI"/>
      <w:sz w:val="18"/>
      <w:szCs w:val="18"/>
      <w:lang w:eastAsia="ru-RU"/>
    </w:rPr>
  </w:style>
  <w:style w:type="character" w:styleId="Style14" w:customStyle="1">
    <w:name w:val="Верхний колонтитул Знак"/>
    <w:basedOn w:val="DefaultParagraphFont"/>
    <w:uiPriority w:val="99"/>
    <w:qFormat/>
    <w:rsid w:val="0051192d"/>
    <w:rPr>
      <w:sz w:val="24"/>
      <w:szCs w:val="24"/>
      <w:lang w:eastAsia="ru-RU"/>
    </w:rPr>
  </w:style>
  <w:style w:type="character" w:styleId="Style15" w:customStyle="1">
    <w:name w:val="Нижний колонтитул Знак"/>
    <w:basedOn w:val="DefaultParagraphFont"/>
    <w:uiPriority w:val="99"/>
    <w:qFormat/>
    <w:rsid w:val="0051192d"/>
    <w:rPr>
      <w:sz w:val="24"/>
      <w:szCs w:val="24"/>
      <w:lang w:eastAsia="ru-RU"/>
    </w:rPr>
  </w:style>
  <w:style w:type="character" w:styleId="FontStyle12">
    <w:name w:val="Font Style12"/>
    <w:basedOn w:val="DefaultParagraphFont"/>
    <w:qFormat/>
    <w:rPr>
      <w:rFonts w:ascii="Times New Roman" w:hAnsi="Times New Roman" w:cs="Times New Roman"/>
      <w:color w:val="000000"/>
      <w:sz w:val="26"/>
      <w:szCs w:val="26"/>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bd27a0"/>
    <w:pPr>
      <w:ind w:left="708" w:hanging="0"/>
    </w:pPr>
    <w:rPr/>
  </w:style>
  <w:style w:type="paragraph" w:styleId="BalloonText">
    <w:name w:val="Balloon Text"/>
    <w:basedOn w:val="Normal"/>
    <w:link w:val="Style13"/>
    <w:uiPriority w:val="99"/>
    <w:semiHidden/>
    <w:unhideWhenUsed/>
    <w:qFormat/>
    <w:rsid w:val="00890628"/>
    <w:pPr/>
    <w:rPr>
      <w:rFonts w:ascii="Segoe UI" w:hAnsi="Segoe UI" w:cs="Segoe UI"/>
      <w:sz w:val="18"/>
      <w:szCs w:val="18"/>
    </w:rPr>
  </w:style>
  <w:style w:type="paragraph" w:styleId="Style21">
    <w:name w:val="Колонтитул"/>
    <w:basedOn w:val="Normal"/>
    <w:qFormat/>
    <w:pPr/>
    <w:rPr/>
  </w:style>
  <w:style w:type="paragraph" w:styleId="Style22">
    <w:name w:val="Header"/>
    <w:basedOn w:val="Normal"/>
    <w:link w:val="Style14"/>
    <w:uiPriority w:val="99"/>
    <w:unhideWhenUsed/>
    <w:rsid w:val="0051192d"/>
    <w:pPr>
      <w:tabs>
        <w:tab w:val="clear" w:pos="708"/>
        <w:tab w:val="center" w:pos="4677" w:leader="none"/>
        <w:tab w:val="right" w:pos="9355" w:leader="none"/>
      </w:tabs>
    </w:pPr>
    <w:rPr/>
  </w:style>
  <w:style w:type="paragraph" w:styleId="Style23">
    <w:name w:val="Footer"/>
    <w:basedOn w:val="Normal"/>
    <w:link w:val="Style15"/>
    <w:uiPriority w:val="99"/>
    <w:unhideWhenUsed/>
    <w:rsid w:val="0051192d"/>
    <w:pPr>
      <w:tabs>
        <w:tab w:val="clear" w:pos="708"/>
        <w:tab w:val="center" w:pos="4677" w:leader="none"/>
        <w:tab w:val="right" w:pos="9355" w:leader="none"/>
      </w:tabs>
    </w:pPr>
    <w:rPr/>
  </w:style>
  <w:style w:type="paragraph" w:styleId="Style24">
    <w:name w:val="Body Text Indent"/>
    <w:basedOn w:val="Normal"/>
    <w:pPr>
      <w:spacing w:before="0" w:after="120"/>
      <w:ind w:left="283" w:hanging="0"/>
    </w:pPr>
    <w:rPr/>
  </w:style>
  <w:style w:type="paragraph" w:styleId="Style25">
    <w:name w:val="Содержимое таблицы"/>
    <w:basedOn w:val="Normal"/>
    <w:qFormat/>
    <w:pPr>
      <w:widowControl w:val="false"/>
      <w:suppressLineNumbers/>
    </w:pPr>
    <w:rPr/>
  </w:style>
  <w:style w:type="paragraph" w:styleId="Style26">
    <w:name w:val="Содержимое врезки"/>
    <w:basedOn w:val="Normal"/>
    <w:qFormat/>
    <w:pPr/>
    <w:rPr/>
  </w:style>
  <w:style w:type="paragraph" w:styleId="Style27">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5910</TotalTime>
  <Application>LibreOffice/7.5.6.2$Linux_X86_64 LibreOffice_project/50$Build-2</Application>
  <AppVersion>15.0000</AppVersion>
  <Pages>18</Pages>
  <Words>2369</Words>
  <Characters>16362</Characters>
  <CharactersWithSpaces>18566</CharactersWithSpaces>
  <Paragraphs>344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2023-03-14T12:09:00Z</dcterms:created>
  <dc:creator>Тимур Нигматуллин Ирекович</dc:creator>
  <dc:description/>
  <dc:language>ru-RU</dc:language>
  <cp:lastModifiedBy/>
  <cp:lastPrinted>2025-10-28T11:28:34Z</cp:lastPrinted>
  <dcterms:modified xsi:type="dcterms:W3CDTF">2025-10-28T11:24:18Z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