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03.10.2022 № 5185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2023-2025 годы»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142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Исполнительного комитета от 03.10.2022 № 5185 «Об утверждении муниципальной программы «Развитие системы образования города Набережные Челны на 2023-2025 годы» (в редакции постановлений Исполнительного комитета от 01.03.2023 № 1284, от 03.07.2023 № 5714, от 15.12.2023 № 12178, от 22.03.2024 № 1776, от 06.09.2024 № 5754, от 10.01.2025 № 16, от 14.03.2025 № 1982, от 29.10.2025 № 8857)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left="142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2023-2025 годы» за счет средств, предусмотренных в бюджете города по разделу «Образование», в размере на 2023 год – 10789234,34 тысяч рублей, 2024 год – 12678423,36 тысяч рублей, 2025 год – 14055250,83 тысяч рублей.»;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2023-2025 годы»: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 строку «Объемы и источники      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3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400"/>
        <w:gridCol w:w="1702"/>
        <w:gridCol w:w="1560"/>
        <w:gridCol w:w="1560"/>
        <w:gridCol w:w="1558"/>
        <w:gridCol w:w="1559"/>
      </w:tblGrid>
      <w:tr>
        <w:trPr>
          <w:cantSplit w:val="true"/>
        </w:trPr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«Объемы и источники       финансирования  Программы с разбивкой по годам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Источники     финансирования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Годы  реализации Программы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 год (тыс. рублей)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2024 год  (тыс. рублей)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2025 год  (тыс. рублей)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>
        <w:trPr>
          <w:trHeight w:val="532" w:hRule="atLeast"/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12678423,36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14055250,83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57" w:before="0" w:after="0"/>
              <w:jc w:val="right"/>
              <w:rPr>
                <w:rFonts w:ascii="Nimbus Roman" w:hAnsi="Nimbus Roman" w:cs="Nimbus Roman"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color w:val="000000"/>
                <w:sz w:val="26"/>
                <w:szCs w:val="26"/>
              </w:rPr>
              <w:t>37522908,53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bCs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color w:val="000000"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bCs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color w:val="000000"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12678423,36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14055250,83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57" w:before="0" w:after="0"/>
              <w:jc w:val="right"/>
              <w:rPr>
                <w:rFonts w:ascii="Nimbus Roman" w:hAnsi="Nimbus Roman" w:cs="Nimbus Roman"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color w:val="000000"/>
                <w:sz w:val="26"/>
                <w:szCs w:val="26"/>
              </w:rPr>
              <w:t>37522908,53</w:t>
            </w:r>
          </w:p>
        </w:tc>
      </w:tr>
      <w:tr>
        <w:trPr>
          <w:cantSplit w:val="true"/>
        </w:trPr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firstLine="708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финансирования Программы на 2023-2025 годы составляет </w:t>
      </w:r>
      <w:r>
        <w:rPr>
          <w:rFonts w:eastAsia="Nimbus Roman" w:cs="Nimbus Roman" w:ascii="Nimbus Roman" w:hAnsi="Nimbus Roman"/>
          <w:color w:val="000000"/>
          <w:sz w:val="26"/>
          <w:szCs w:val="26"/>
        </w:rPr>
        <w:t>37522908,53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тыс. рублей.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Всего за период </w:t>
      </w:r>
      <w:r>
        <w:rPr>
          <w:rFonts w:eastAsia="Nimbus Roman" w:cs="Nimbus Roman" w:ascii="Nimbus Roman" w:hAnsi="Nimbus Roman"/>
          <w:color w:val="000000"/>
          <w:sz w:val="26"/>
          <w:szCs w:val="26"/>
        </w:rPr>
        <w:t>37522908,53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2023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10789234,34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рублей, 2024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12678423,36</w:t>
      </w:r>
      <w:r>
        <w:rPr>
          <w:rFonts w:ascii="Times New Roman" w:hAnsi="Times New Roman"/>
          <w:sz w:val="26"/>
          <w:szCs w:val="26"/>
        </w:rPr>
        <w:t xml:space="preserve"> тыс. рублей, 2025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14055250,83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рублей.»;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9 изложить в новой редакции согласно приложению № 1;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10 изложить в новой редакции согласно приложению № 2.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footerReference w:type="default" r:id="rId2"/>
          <w:type w:val="nextPage"/>
          <w:pgSz w:w="11906" w:h="16838"/>
          <w:pgMar w:left="567" w:right="567" w:gutter="0" w:header="0" w:top="567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 1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</w:rPr>
        <w:t>лава  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27"/>
        <w:gridCol w:w="2551"/>
        <w:gridCol w:w="1134"/>
        <w:gridCol w:w="1134"/>
        <w:gridCol w:w="1133"/>
        <w:gridCol w:w="1134"/>
        <w:gridCol w:w="1276"/>
        <w:gridCol w:w="1276"/>
        <w:gridCol w:w="1278"/>
        <w:gridCol w:w="2406"/>
      </w:tblGrid>
      <w:tr>
        <w:trPr>
          <w:trHeight w:val="1042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523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цели</w:t>
            </w:r>
            <w:r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Дошкольное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местами в дошкольных организациях детей от 2,5 до 7 лет через АИС «Электронный детский сад» (%);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firstLine="6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4306288,94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4751265,50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5329866,52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детей с ОВЗ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bCs/>
                <w:lang w:eastAsia="ru-RU"/>
              </w:rPr>
              <w:t>65538,45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84452,79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106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Общее образование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</w:t>
            </w:r>
          </w:p>
        </w:tc>
      </w:tr>
      <w:tr>
        <w:trPr>
          <w:trHeight w:val="144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ФГОС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успеваемость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99,1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99,75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5331840,50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6610475,90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7262198,41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охват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12137,85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общеобразовательных учреждений, оснащенных техническими средствами перемещения в здании для инвалидов и людей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9,75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475,5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525,83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100 баллов,  по результатам государственной итоговой аттестации по общеобразовательным программам среднего общего образования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517,23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413,82</w:t>
            </w:r>
          </w:p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591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>
        <w:trPr>
          <w:trHeight w:val="219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обеспеченных индивидуальным медико-социальным и психолого-педагогическим сопровождением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13012,06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12769,02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16334,18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>
        <w:trPr>
          <w:trHeight w:val="69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>
        <w:trPr>
          <w:trHeight w:val="1543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и участие школьников в олимпиадах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 олимпиад школьников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4113,70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 муниципальные общеобразовательные организации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109723,39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147826,05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145966,07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79»; муниципальное автономное общеобразовательное учреждение «Лицей-интернат № 84 имени Г. Акыша»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образовательных организациях города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3210,13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5546,8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24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образовательных организациях города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04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>
        <w:trPr>
          <w:trHeight w:val="1250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03" w:leader="none"/>
              </w:tabs>
              <w:spacing w:before="0" w:after="200"/>
              <w:ind w:left="2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635051,85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723528,86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806097,65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учреждения дополнительного образования художественно-эстетического направления</w:t>
            </w:r>
          </w:p>
        </w:tc>
      </w:tr>
      <w:tr>
        <w:trPr>
          <w:trHeight w:val="182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 различной 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290954,2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324594,77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353425,71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муниципальные учреждения дополнительного образования многопрофильной направленности</w:t>
            </w:r>
          </w:p>
        </w:tc>
      </w:tr>
      <w:tr>
        <w:trPr>
          <w:trHeight w:val="1128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Учебно-методическое сопровождение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lineRule="auto" w:line="240"/>
              <w:ind w:hanging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научно-консультационной работы, семинаров по инновациям, методам научного исследования в образовательных организациях города</w:t>
            </w:r>
          </w:p>
          <w:p>
            <w:pPr>
              <w:pStyle w:val="Style30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 участвующих в научно-экспериментальной деятельности, инновационных проектах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20288,37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24245,82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49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Кадровое обеспечение отрасли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ind w:firstLine="22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69,28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69,89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firstLine="220"/>
              <w:rPr>
                <w:rStyle w:val="FontStyle41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 проведение конкурс</w:t>
            </w:r>
            <w:r>
              <w:rPr>
                <w:rFonts w:ascii="Times New Roman" w:hAnsi="Times New Roman"/>
              </w:rPr>
              <w:t xml:space="preserve">ов, конференций, </w:t>
            </w:r>
            <w:r>
              <w:rPr>
                <w:rStyle w:val="FontStyle41"/>
                <w:sz w:val="22"/>
                <w:szCs w:val="22"/>
              </w:rPr>
              <w:t>награждение лучших работников отрасли образования</w:t>
            </w:r>
          </w:p>
          <w:p>
            <w:pPr>
              <w:pStyle w:val="Normal"/>
              <w:widowControl w:val="false"/>
              <w:spacing w:before="0" w:after="60"/>
              <w:ind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1203,24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4342,64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2506,48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ru-RU"/>
        </w:rPr>
        <w:t>Исполнительного комитета                                                                                                                                                                    Н.И. Галиева</w:t>
      </w:r>
      <w:r>
        <w:br w:type="page"/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tabs>
          <w:tab w:val="clear" w:pos="708"/>
          <w:tab w:val="left" w:pos="1965" w:leader="none"/>
          <w:tab w:val="left" w:pos="4545" w:leader="none"/>
        </w:tabs>
        <w:jc w:val="center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>
      <w:pPr>
        <w:pStyle w:val="Normal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проекта бюджета города Набережные Челны.</w:t>
      </w:r>
    </w:p>
    <w:tbl>
      <w:tblPr>
        <w:tblW w:w="11117" w:type="dxa"/>
        <w:jc w:val="left"/>
        <w:tblInd w:w="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48"/>
        <w:gridCol w:w="2677"/>
        <w:gridCol w:w="2605"/>
        <w:gridCol w:w="2386"/>
      </w:tblGrid>
      <w:tr>
        <w:trPr>
          <w:trHeight w:val="657" w:hRule="atLeas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>
        <w:trPr>
          <w:trHeight w:val="275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Источник финансирования – муниципальный бюджет (тыс. руб.)</w:t>
            </w:r>
          </w:p>
        </w:tc>
      </w:tr>
      <w:tr>
        <w:trPr>
          <w:trHeight w:val="279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общего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" w:hAnsi="Nimbus Roman" w:cs="Nimbus Roman"/>
                <w:color w:val="000000"/>
                <w:sz w:val="24"/>
                <w:szCs w:val="24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5 349 538,97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6 632 612,33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7 294 862,09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109 723,39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147 826,05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145 966,07</w:t>
            </w:r>
          </w:p>
        </w:tc>
      </w:tr>
      <w:tr>
        <w:trPr>
          <w:trHeight w:val="733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290 954,20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324 594,77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353 425,71</w:t>
            </w:r>
          </w:p>
        </w:tc>
      </w:tr>
      <w:tr>
        <w:trPr>
          <w:trHeight w:val="794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635 051,85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723 528,86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806 097,65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19 126,48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20 288,37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24 245,82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13 012,06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12 769,02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16 334,18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Системы дошкольного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</w:rPr>
              <w:t>4 371 827,39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4 816 803,95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5 414 319,31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Итого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color w:val="000000"/>
              </w:rPr>
            </w:pPr>
            <w:r>
              <w:rPr>
                <w:rFonts w:eastAsia="Nimbus Roman" w:cs="Nimbus Roman" w:ascii="Nimbus Roman" w:hAnsi="Nimbus Roman"/>
                <w:bCs/>
                <w:color w:val="000000"/>
              </w:rPr>
              <w:t>10 789 234,34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12 678 423,36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14 055 250,83</w:t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>
      <w:pPr>
        <w:pStyle w:val="ListParagraph"/>
        <w:tabs>
          <w:tab w:val="clear" w:pos="708"/>
          <w:tab w:val="left" w:pos="851" w:leader="none"/>
        </w:tabs>
        <w:spacing w:before="0" w:after="200"/>
        <w:ind w:left="0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semiHidden/>
    <w:qFormat/>
    <w:rPr>
      <w:rFonts w:ascii="Calibri" w:hAnsi="Calibri" w:eastAsia="Calibri" w:cs="Times New Roman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Calibri" w:hAnsi="Calibri" w:eastAsia="Calibri" w:cs="Times New Roman"/>
    </w:rPr>
  </w:style>
  <w:style w:type="character" w:styleId="Style11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FontStyle41" w:customStyle="1">
    <w:name w:val="Font Style41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2" w:customStyle="1">
    <w:name w:val="Основной текст с отступом Знак"/>
    <w:basedOn w:val="DefaultParagraphFont"/>
    <w:qFormat/>
    <w:rPr>
      <w:rFonts w:ascii="Times New Roman" w:hAnsi="Times New Roman" w:eastAsia="Times New Roman"/>
      <w:sz w:val="28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rPr>
      <w:sz w:val="22"/>
      <w:szCs w:val="22"/>
      <w:lang w:eastAsia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pPr>
      <w:widowControl w:val="false"/>
      <w:spacing w:lineRule="exact" w:line="349" w:before="0" w:after="0"/>
      <w:ind w:firstLine="68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1">
    <w:name w:val="Style30"/>
    <w:basedOn w:val="Normal"/>
    <w:uiPriority w:val="99"/>
    <w:qFormat/>
    <w:pPr>
      <w:widowControl w:val="false"/>
      <w:spacing w:lineRule="exact" w:line="327" w:before="0" w:after="0"/>
      <w:ind w:firstLine="13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 w:customStyle="1">
    <w:name w:val="Нормальный (таблица)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Body Text Indent"/>
    <w:basedOn w:val="Normal"/>
    <w:unhideWhenUsed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F1FE-4BA3-455A-9FC7-911BFADA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12</Pages>
  <Words>1716</Words>
  <Characters>13124</Characters>
  <CharactersWithSpaces>15085</CharactersWithSpaces>
  <Paragraphs>368</Paragraphs>
  <Company>msisp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2022-08-23T14:05:00Z</dcterms:created>
  <dc:creator>VylegzaninaIV</dc:creator>
  <dc:description/>
  <dc:language>ru-RU</dc:language>
  <cp:lastModifiedBy/>
  <dcterms:modified xsi:type="dcterms:W3CDTF">2025-12-08T07:14:02Z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