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67"/>
        <w:gridCol w:w="1842"/>
        <w:gridCol w:w="4535"/>
      </w:tblGrid>
      <w:tr>
        <w:trPr>
          <w:trHeight w:val="1428" w:hRule="exact"/>
          <w:cantSplit w:val="true"/>
        </w:trPr>
        <w:tc>
          <w:tcPr>
            <w:tcW w:w="3967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санитарной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охраны водозабора Бавлинского филиала ООО «Татнефть — АЗС Центр»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01146 ВЭ от 16.04.2009, санитарно-эпидемиологическое заключение Управления Роспотребнадзора по Республике Татарстан от  17.11.2025 № 16.11.11.000.Т.002368.11.25  о соответствии государственным санитарно-эпидемиологическим правилам и нормативам, а также на основании корректировки проекта организации зон  санитарной  охраны и ограничений использования земельных участков в границах зон  санитарной  охраны источника хозяйственно-питьевого и производственного водоснабжения водозабора (водозаборная скважина № 1) Бавлинского филиала ООО «Татнефть-АЗС Центр» АЗС № 5, расположенного на 1272 км трассы Москва-Челябинск, в 5 км к северо-западу от западной окраины г. Бавлы Бавлинского муниципального    района Республики Татарстан, п р и к а з ы в а ю:</w:t>
      </w:r>
    </w:p>
    <w:p>
      <w:pPr>
        <w:pStyle w:val="Normal"/>
        <w:widowControl w:val="false"/>
        <w:autoSpaceDE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1. Установить </w:t>
      </w:r>
      <w:r>
        <w:rPr>
          <w:sz w:val="28"/>
          <w:szCs w:val="28"/>
        </w:rPr>
        <w:t xml:space="preserve">зоны санитарной охраны водозабора </w:t>
      </w:r>
      <w:r>
        <w:rPr>
          <w:rFonts w:cs="Times New Roman"/>
          <w:b w:val="false"/>
          <w:sz w:val="28"/>
          <w:szCs w:val="28"/>
        </w:rPr>
        <w:t>Бавлинского филиала ООО «Татнефть-АЗС Центр» АЗС № 5, расположенного на 1272 км трассы Москва-Челябинск, в 5 км к северо-западу от западной окраины г. Бавлы Бавлинского муниципального района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autoSpaceDE w:val="false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Бавлинский филиал ООО «Татнефть-АЗС Центр»</w:t>
      </w:r>
      <w:r>
        <w:rPr>
          <w:sz w:val="28"/>
          <w:szCs w:val="28"/>
        </w:rPr>
        <w:t>;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зон санитарной охраны (далее – ЗСО) в Единый государственный реестр недвижимости;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Исполнительный комитет Бавлинского муниципального района Республики Татарстан;</w:t>
      </w:r>
    </w:p>
    <w:p>
      <w:pPr>
        <w:pStyle w:val="Normal"/>
        <w:autoSpaceDE w:val="false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autoSpaceDE w:val="false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>4. Рекомендовать Руководителю Исполнительного комитета Бавлинского муниципального района Республики Татарстан провести мероприятия по организации оповещения населения о границах ЗСО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Бавлинского филиала ООО «Татнефть-АЗС Центр» АЗС № 5, расположенного на 1272 км трассы Москва-Челябинск, в 5 км к северо-западу от западной окраины г. Бавлы Бавлинского муниципального района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ЗСО </w:t>
      </w:r>
      <w:r>
        <w:rPr>
          <w:sz w:val="28"/>
          <w:szCs w:val="28"/>
        </w:rPr>
        <w:t>водозабора.</w:t>
      </w:r>
    </w:p>
    <w:p>
      <w:pPr>
        <w:pStyle w:val="Normal"/>
        <w:autoSpaceDE w:val="fals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autoSpaceDE w:val="false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А.В. Шадриков</w:t>
      </w:r>
    </w:p>
    <w:p>
      <w:pPr>
        <w:pStyle w:val="Normal"/>
        <w:autoSpaceDE w:val="false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autoSpaceDE w:val="false"/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autoSpaceDE w:val="false"/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autoSpaceDE w:val="false"/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autoSpaceDE w:val="false"/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autoSpaceDE w:val="false"/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autoSpaceDE w:val="false"/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autoSpaceDE w:val="false"/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autoSpaceDE w:val="false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Границы зон санитарной охраны водозабора Бавлинского филиала ООО «Татнефть-АЗС Центр» АЗС № 5, расположенного на 1272 км трассы Москва-Челябинск, в 5 км к северо-западу от западной окраины г. Бавлы Бавлинского муниципального района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водозабора, используемого для добычи подземных вод с целью хозяйственно-питьевого и производственного водоснабжения, расположен на 1272 км трассы Москва-Челябинск, в 5 км к северо-западу от западной окраины г. Бавлы Бавлинского муниципального района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Водозабор состоит из одной эксплуатационной скважи</w:t>
      </w:r>
      <w:r>
        <w:rPr>
          <w:rFonts w:cs="Times New Roman" w:ascii="Times New Roman" w:hAnsi="Times New Roman"/>
          <w:b w:val="false"/>
          <w:sz w:val="28"/>
          <w:szCs w:val="28"/>
        </w:rPr>
        <w:t>ны № 1.</w:t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202122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Географические координаты водозаборной скважины № 1:</w:t>
      </w:r>
    </w:p>
    <w:p>
      <w:pPr>
        <w:pStyle w:val="Normal"/>
        <w:autoSpaceDE w:val="false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02122"/>
          <w:spacing w:val="0"/>
          <w:sz w:val="28"/>
          <w:szCs w:val="28"/>
        </w:rPr>
        <w:t xml:space="preserve">-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54°25′18.2″, 53°09′07.4″</w:t>
      </w: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r>
        <w:rPr>
          <w:rFonts w:cs="Times New Roman" w:ascii="Times New Roman" w:hAnsi="Times New Roman"/>
          <w:sz w:val="28"/>
          <w:szCs w:val="28"/>
        </w:rPr>
        <w:t>система координат WGS - 84).</w:t>
      </w:r>
    </w:p>
    <w:p>
      <w:pPr>
        <w:pStyle w:val="Normal"/>
        <w:autoSpaceDE w:val="false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Кадастровый номер земельного участка под первый пояс ЗСО: 16:11:130802:1.</w:t>
      </w:r>
    </w:p>
    <w:p>
      <w:pPr>
        <w:pStyle w:val="Normal"/>
        <w:autoSpaceDE w:val="false"/>
        <w:ind w:firstLine="720" w:right="0"/>
        <w:jc w:val="both"/>
        <w:rPr>
          <w:sz w:val="28"/>
          <w:szCs w:val="28"/>
          <w:u w:val="single"/>
          <w:lang w:val="en-US" w:bidi="he-IL"/>
        </w:rPr>
      </w:pPr>
      <w:r>
        <w:rPr>
          <w:rFonts w:cs="Times New Roman" w:ascii="Times New Roman" w:hAnsi="Times New Roman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</w:t>
      </w:r>
      <w:r>
        <w:rPr>
          <w:rFonts w:cs="Calibri"/>
          <w:sz w:val="28"/>
          <w:szCs w:val="28"/>
        </w:rPr>
        <w:t>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  <w:lang w:bidi="he-IL"/>
        </w:rPr>
        <w:t xml:space="preserve">Граница первого пояса ЗСО </w:t>
      </w:r>
      <w:r>
        <w:rPr>
          <w:sz w:val="28"/>
          <w:szCs w:val="28"/>
        </w:rPr>
        <w:t>водозаборной скважины</w:t>
      </w:r>
      <w:r>
        <w:rPr>
          <w:sz w:val="28"/>
          <w:szCs w:val="28"/>
          <w:lang w:bidi="he-IL"/>
        </w:rPr>
        <w:t xml:space="preserve"> № 1 </w:t>
      </w:r>
      <w:r>
        <w:rPr>
          <w:rFonts w:cs="Calibri"/>
          <w:sz w:val="28"/>
          <w:szCs w:val="28"/>
        </w:rPr>
        <w:t xml:space="preserve">устанавливается размерами: </w:t>
      </w:r>
    </w:p>
    <w:p>
      <w:pPr>
        <w:pStyle w:val="Style17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в северном и западном направлении — 4 м от устья скважины;</w:t>
      </w:r>
    </w:p>
    <w:p>
      <w:pPr>
        <w:pStyle w:val="Style17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в южном направлении — 9 м от устья скважины;</w:t>
      </w:r>
    </w:p>
    <w:p>
      <w:pPr>
        <w:pStyle w:val="Style17"/>
        <w:ind w:firstLine="720" w:right="0"/>
        <w:jc w:val="both"/>
        <w:rPr>
          <w:rFonts w:cs="Times New Roman"/>
          <w:sz w:val="28"/>
          <w:szCs w:val="28"/>
          <w:u w:val="single"/>
          <w:lang w:bidi="he-IL"/>
        </w:rPr>
      </w:pPr>
      <w:r>
        <w:rPr>
          <w:rFonts w:cs="Calibri"/>
          <w:sz w:val="28"/>
          <w:szCs w:val="28"/>
        </w:rPr>
        <w:t>- в восточном направлении — 31 м  от устья скважины;</w:t>
      </w:r>
    </w:p>
    <w:p>
      <w:pPr>
        <w:pStyle w:val="Normal"/>
        <w:autoSpaceDE w:val="false"/>
        <w:ind w:firstLine="720" w:right="0"/>
        <w:jc w:val="both"/>
        <w:rPr>
          <w:sz w:val="28"/>
          <w:szCs w:val="28"/>
          <w:lang w:bidi="he-IL"/>
        </w:rPr>
      </w:pPr>
      <w:r>
        <w:rPr>
          <w:rFonts w:cs="Times New Roman"/>
          <w:sz w:val="28"/>
          <w:szCs w:val="28"/>
          <w:u w:val="single"/>
          <w:lang w:bidi="he-IL"/>
        </w:rPr>
        <w:t xml:space="preserve"> </w:t>
      </w:r>
      <w:r>
        <w:rPr>
          <w:sz w:val="28"/>
          <w:szCs w:val="28"/>
          <w:u w:val="single"/>
          <w:lang w:val="en-US" w:bidi="he-IL"/>
        </w:rPr>
        <w:t>II</w:t>
      </w:r>
      <w:r>
        <w:rPr>
          <w:sz w:val="28"/>
          <w:szCs w:val="28"/>
          <w:u w:val="single"/>
          <w:lang w:bidi="he-IL"/>
        </w:rPr>
        <w:t xml:space="preserve"> пояс ЗСО</w:t>
      </w:r>
    </w:p>
    <w:p>
      <w:pPr>
        <w:pStyle w:val="Style17"/>
        <w:ind w:firstLine="720" w:right="0"/>
        <w:jc w:val="both"/>
        <w:rPr>
          <w:sz w:val="28"/>
          <w:szCs w:val="28"/>
          <w:u w:val="single"/>
          <w:shd w:fill="auto" w:val="clear"/>
          <w:lang w:val="en-US" w:bidi="he-IL"/>
        </w:rPr>
      </w:pPr>
      <w:r>
        <w:rPr>
          <w:sz w:val="28"/>
          <w:szCs w:val="28"/>
          <w:lang w:bidi="he-IL"/>
        </w:rPr>
        <w:t xml:space="preserve">Граница второго пояса ЗСО водозаборной скважины № 1 </w:t>
      </w:r>
      <w:r>
        <w:rPr>
          <w:rFonts w:cs="Calibri"/>
          <w:sz w:val="28"/>
          <w:szCs w:val="28"/>
          <w:lang w:bidi="he-IL"/>
        </w:rPr>
        <w:t>устанавливается радиусом 20 м, с восточной стороны совмещена с первым поясом и устанавливается на расстоянии 31 м;</w:t>
      </w:r>
    </w:p>
    <w:p>
      <w:pPr>
        <w:pStyle w:val="Normal"/>
        <w:autoSpaceDE w:val="false"/>
        <w:ind w:firstLine="720" w:right="0"/>
        <w:jc w:val="both"/>
        <w:rPr>
          <w:sz w:val="28"/>
          <w:szCs w:val="28"/>
          <w:shd w:fill="auto" w:val="clear"/>
          <w:lang w:bidi="he-IL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shd w:fill="auto" w:val="clear"/>
          <w:lang w:bidi="he-IL"/>
        </w:rPr>
        <w:t xml:space="preserve">Граница третьего пояса ЗСО водозаборной скважины № 1 </w:t>
      </w:r>
      <w:r>
        <w:rPr>
          <w:rFonts w:cs="Calibri"/>
          <w:sz w:val="28"/>
          <w:szCs w:val="28"/>
          <w:shd w:fill="auto" w:val="clear"/>
          <w:lang w:bidi="he-IL"/>
        </w:rPr>
        <w:t>устанавливается радиусом 122 м</w:t>
      </w:r>
      <w:r>
        <w:rPr>
          <w:sz w:val="28"/>
          <w:szCs w:val="28"/>
          <w:shd w:fill="auto" w:val="clear"/>
          <w:lang w:bidi="he-IL"/>
        </w:rPr>
        <w:t>.</w:t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numPr>
          <w:ilvl w:val="0"/>
          <w:numId w:val="0"/>
        </w:numPr>
        <w:autoSpaceDE w:val="false"/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autoSpaceDE w:val="false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autoSpaceDE w:val="false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границах зон санитарной охраны  водозабора Бавлинского филиала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ООО «Татнефть-АЗС Центр» АЗС № 5, расположенного на 1272 км трассы Москва-Челябинск, в 5 км к северо-западу от западной окраины г. Бавлы Бавлинского муниципального района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autoSpaceDE w:val="false"/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autoSpaceDE w:val="false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autoSpaceDE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autoSpaceDE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autoSpaceDE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autoSpaceDE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autoSpaceDE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autoSpaceDE w:val="false"/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autoSpaceDE w:val="false"/>
      <w:bidi w:val="0"/>
    </w:pPr>
    <w:rPr>
      <w:rFonts w:ascii="Calibri" w:hAnsi="Calibri" w:eastAsia="Times New Roman" w:cs="Calibri"/>
      <w:b/>
      <w:bCs/>
      <w:color w:val="auto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1742</TotalTime>
  <Application>LibreOffice/25.2.3.2$Linux_X86_64 LibreOffice_project/520$Build-2</Application>
  <AppVersion>15.0000</AppVersion>
  <Pages>5</Pages>
  <Words>1225</Words>
  <Characters>8973</Characters>
  <CharactersWithSpaces>10290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2025-01-20T16:59:00Z</cp:lastPrinted>
  <dcterms:modified xsi:type="dcterms:W3CDTF">2025-12-09T11:07:03Z</dcterms:modified>
  <cp:revision>78</cp:revision>
  <dc:subject/>
  <dc:title>ТАТАРСТАН РЕСПУБЛИКАСЫНЫH</dc:title>
</cp:coreProperties>
</file>