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57" w:rsidRPr="00832A97" w:rsidRDefault="00713957" w:rsidP="00713957">
      <w:pPr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>Контактные лица для направления</w:t>
      </w: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>замечаний и предложений:</w:t>
      </w: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>Хафизов Айрат Мирасимович</w:t>
      </w: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>Ведущий советник отдела племенного дела и воспроизводства животных</w:t>
      </w: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>Телефон: +7 (843) 221-77-58</w:t>
      </w:r>
    </w:p>
    <w:p w:rsidR="00713957" w:rsidRPr="00832A97" w:rsidRDefault="00713957" w:rsidP="00713957">
      <w:pPr>
        <w:widowControl/>
        <w:suppressAutoHyphens w:val="0"/>
        <w:autoSpaceDE w:val="0"/>
        <w:autoSpaceDN w:val="0"/>
        <w:adjustRightInd w:val="0"/>
        <w:ind w:left="5529"/>
        <w:outlineLvl w:val="0"/>
        <w:rPr>
          <w:bCs/>
          <w:kern w:val="0"/>
          <w:sz w:val="28"/>
          <w:szCs w:val="28"/>
          <w:lang w:eastAsia="en-US"/>
        </w:rPr>
      </w:pPr>
      <w:r w:rsidRPr="00832A97">
        <w:rPr>
          <w:bCs/>
          <w:kern w:val="0"/>
          <w:sz w:val="28"/>
          <w:szCs w:val="28"/>
          <w:lang w:eastAsia="en-US"/>
        </w:rPr>
        <w:t xml:space="preserve">Email: </w:t>
      </w:r>
      <w:r w:rsidRPr="00832A97">
        <w:rPr>
          <w:bCs/>
          <w:kern w:val="0"/>
          <w:sz w:val="28"/>
          <w:szCs w:val="28"/>
          <w:lang w:eastAsia="en-US"/>
        </w:rPr>
        <w:tab/>
        <w:t>Ayrat.Hafizov@tatar.ru</w:t>
      </w:r>
    </w:p>
    <w:p w:rsidR="00713957" w:rsidRPr="00832A97" w:rsidRDefault="00713957" w:rsidP="00713957">
      <w:pPr>
        <w:widowControl/>
        <w:overflowPunct w:val="0"/>
        <w:ind w:right="5726"/>
        <w:rPr>
          <w:rFonts w:ascii="Calibri" w:eastAsia="Calibri" w:hAnsi="Calibri" w:cs="Arial"/>
          <w:color w:val="000000"/>
          <w:lang w:eastAsia="zh-CN"/>
        </w:rPr>
      </w:pPr>
    </w:p>
    <w:p w:rsidR="00713957" w:rsidRPr="00713957" w:rsidRDefault="00713957" w:rsidP="00713957">
      <w:pPr>
        <w:widowControl/>
        <w:overflowPunct w:val="0"/>
        <w:ind w:right="5726"/>
        <w:rPr>
          <w:rFonts w:ascii="Calibri" w:eastAsia="Calibri" w:hAnsi="Calibri" w:cs="Arial"/>
          <w:color w:val="000000"/>
          <w:lang w:eastAsia="zh-CN"/>
        </w:rPr>
      </w:pPr>
    </w:p>
    <w:p w:rsidR="00713957" w:rsidRPr="00713957" w:rsidRDefault="00713957" w:rsidP="00713957">
      <w:pPr>
        <w:widowControl/>
        <w:overflowPunct w:val="0"/>
        <w:ind w:right="5613"/>
        <w:jc w:val="both"/>
        <w:rPr>
          <w:color w:val="000000"/>
          <w:sz w:val="28"/>
          <w:szCs w:val="28"/>
          <w:lang w:eastAsia="zh-CN"/>
        </w:rPr>
      </w:pPr>
      <w:r w:rsidRPr="00713957">
        <w:rPr>
          <w:rFonts w:eastAsia="Calibri"/>
          <w:color w:val="000000"/>
          <w:sz w:val="28"/>
          <w:szCs w:val="28"/>
          <w:lang w:eastAsia="zh-CN"/>
        </w:rPr>
        <w:t xml:space="preserve">Об утверждении Административного регламента предоставления </w:t>
      </w:r>
      <w:bookmarkStart w:id="0" w:name="_GoBack"/>
      <w:bookmarkEnd w:id="0"/>
      <w:r w:rsidRPr="00713957">
        <w:rPr>
          <w:rFonts w:eastAsia="Calibri"/>
          <w:color w:val="000000"/>
          <w:sz w:val="28"/>
          <w:szCs w:val="28"/>
          <w:lang w:eastAsia="zh-CN"/>
        </w:rPr>
        <w:t xml:space="preserve">государственной услуги по выдаче племенных свидетельств </w:t>
      </w:r>
      <w:r w:rsidRPr="00713957">
        <w:rPr>
          <w:color w:val="000000"/>
          <w:sz w:val="28"/>
          <w:szCs w:val="28"/>
          <w:lang w:eastAsia="zh-CN"/>
        </w:rPr>
        <w:t xml:space="preserve">(паспортов) </w:t>
      </w:r>
      <w:r w:rsidRPr="00713957">
        <w:rPr>
          <w:rFonts w:eastAsia="Calibri"/>
          <w:color w:val="000000"/>
          <w:sz w:val="28"/>
          <w:szCs w:val="28"/>
          <w:lang w:eastAsia="zh-CN"/>
        </w:rPr>
        <w:t xml:space="preserve">на племенную продукцию (материал) </w:t>
      </w: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13957">
        <w:rPr>
          <w:color w:val="000000"/>
          <w:sz w:val="28"/>
          <w:szCs w:val="28"/>
          <w:lang w:eastAsia="zh-CN"/>
        </w:rPr>
        <w:t>В соответствии с Федеральным законом от 27 июля 2010 года № 210-ФЗ     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</w:t>
      </w:r>
    </w:p>
    <w:p w:rsidR="00713957" w:rsidRPr="00713957" w:rsidRDefault="00713957" w:rsidP="00713957">
      <w:pPr>
        <w:widowControl/>
        <w:overflowPunct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13957">
        <w:rPr>
          <w:color w:val="000000"/>
          <w:sz w:val="28"/>
          <w:szCs w:val="28"/>
          <w:lang w:eastAsia="zh-CN"/>
        </w:rPr>
        <w:t>1. Утвердить</w:t>
      </w:r>
      <w:r w:rsidRPr="00713957">
        <w:rPr>
          <w:rFonts w:eastAsia="Calibri"/>
          <w:color w:val="000000"/>
          <w:sz w:val="28"/>
          <w:szCs w:val="28"/>
          <w:lang w:eastAsia="zh-CN"/>
        </w:rPr>
        <w:t xml:space="preserve"> Административный регламент предоставления государственной услуги по выдаче племенных свидетельств </w:t>
      </w:r>
      <w:r w:rsidRPr="00713957">
        <w:rPr>
          <w:color w:val="000000"/>
          <w:sz w:val="28"/>
          <w:szCs w:val="28"/>
          <w:lang w:eastAsia="zh-CN"/>
        </w:rPr>
        <w:t xml:space="preserve">(паспортов) </w:t>
      </w:r>
      <w:r w:rsidRPr="00713957">
        <w:rPr>
          <w:rFonts w:eastAsia="Calibri"/>
          <w:color w:val="000000"/>
          <w:sz w:val="28"/>
          <w:szCs w:val="28"/>
          <w:lang w:eastAsia="zh-CN"/>
        </w:rPr>
        <w:t>на племенную продукцию (материал) (прилагается).</w:t>
      </w:r>
    </w:p>
    <w:p w:rsidR="00713957" w:rsidRPr="00713957" w:rsidRDefault="00713957" w:rsidP="00713957">
      <w:pPr>
        <w:widowControl/>
        <w:overflowPunct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13957">
        <w:rPr>
          <w:rFonts w:eastAsia="Calibri"/>
          <w:color w:val="000000"/>
          <w:sz w:val="28"/>
          <w:szCs w:val="28"/>
          <w:lang w:eastAsia="zh-CN"/>
        </w:rPr>
        <w:t xml:space="preserve">2. </w:t>
      </w:r>
      <w:r w:rsidRPr="00713957">
        <w:rPr>
          <w:color w:val="000000"/>
          <w:sz w:val="28"/>
          <w:szCs w:val="28"/>
          <w:lang w:eastAsia="zh-CN"/>
        </w:rPr>
        <w:t>Контроль за исполнением настоящего приказа возложить на заместителя министра сельского хозяйства и продовольствия Республики Татарстан Г.С.Баязитова.</w:t>
      </w:r>
    </w:p>
    <w:p w:rsidR="00713957" w:rsidRPr="00713957" w:rsidRDefault="00713957" w:rsidP="00713957">
      <w:pPr>
        <w:widowControl/>
        <w:overflowPunct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  <w:r w:rsidRPr="00713957">
        <w:rPr>
          <w:color w:val="000000"/>
          <w:sz w:val="28"/>
          <w:szCs w:val="28"/>
          <w:lang w:eastAsia="zh-CN"/>
        </w:rPr>
        <w:t>Заместитель Премьер-министра</w:t>
      </w: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  <w:r w:rsidRPr="00713957">
        <w:rPr>
          <w:color w:val="000000"/>
          <w:sz w:val="28"/>
          <w:szCs w:val="28"/>
          <w:lang w:eastAsia="zh-CN"/>
        </w:rPr>
        <w:t>Республики Татарстан - министр</w:t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</w:r>
      <w:r w:rsidRPr="00713957">
        <w:rPr>
          <w:color w:val="000000"/>
          <w:sz w:val="28"/>
          <w:szCs w:val="28"/>
          <w:lang w:eastAsia="zh-CN"/>
        </w:rPr>
        <w:tab/>
        <w:t>М.А.Зяббаров</w:t>
      </w: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</w:p>
    <w:p w:rsidR="00713957" w:rsidRPr="00713957" w:rsidRDefault="00713957" w:rsidP="00713957">
      <w:pPr>
        <w:widowControl/>
        <w:overflowPunct w:val="0"/>
        <w:jc w:val="both"/>
        <w:rPr>
          <w:color w:val="000000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Default="00713957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</w:p>
    <w:p w:rsidR="00061240" w:rsidRDefault="003E3A31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приказом Минсельхозпрода РТ</w:t>
      </w:r>
    </w:p>
    <w:p w:rsidR="00061240" w:rsidRDefault="003E3A31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 № __________</w:t>
      </w:r>
    </w:p>
    <w:p w:rsidR="00061240" w:rsidRDefault="00061240">
      <w:pPr>
        <w:pStyle w:val="Standard5"/>
        <w:spacing w:after="0" w:line="240" w:lineRule="auto"/>
        <w:ind w:left="6406"/>
        <w:jc w:val="both"/>
        <w:rPr>
          <w:sz w:val="28"/>
          <w:szCs w:val="28"/>
        </w:rPr>
      </w:pP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Административный регламент предоставления государственной услуги по выдаче племенных свидетельств (паспортов) на племенную продукцию (материал)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I. Общие положения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Настоящий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административный регламент предоставления государственной услуги (далее – Регламент) по выдаче племенных свидетельств (паспортов) на племенную продукцию (материал) устанавливает стандарт и порядок предоставления государственной услуги по выдаче племенных 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видетельств (паспортов) на племенную продукцию (материал)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Услуга)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1.2. Заявителем является племенное хозяйство, осуществляющее свою деятельность в соответствии с Федеральным законом от 3 августа 1995 года             № 123-ФЗ «О племенном животно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водстве» (далее - Заявитель).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имени заявителей могут выступать лица, действующие на основании доверенности, выданной в порядке, установленном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представитель Заявителя).</w:t>
      </w:r>
    </w:p>
    <w:p w:rsidR="00061240" w:rsidRDefault="003E3A31">
      <w:pPr>
        <w:pStyle w:val="af0"/>
        <w:spacing w:line="252" w:lineRule="auto"/>
        <w:ind w:firstLine="720"/>
        <w:jc w:val="both"/>
      </w:pPr>
      <w:r>
        <w:rPr>
          <w:color w:val="000000"/>
          <w:lang w:eastAsia="zh-CN"/>
        </w:rPr>
        <w:t xml:space="preserve">Идентификаторы категорий (признаков) заявителей приведены </w:t>
      </w:r>
      <w:r>
        <w:rPr>
          <w:color w:val="000000"/>
          <w:lang w:eastAsia="zh-CN"/>
        </w:rPr>
        <w:t>в    Приложении № 2 к настоящему Регламенту.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Услуга должна быть предоставлена Заявителю в соответствии с категориями (признаками)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системе информационно-аналитического обеспечения в области племенного животноводства (далее - ИАС) «Селэкс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Цифровой регион» или на Портале государственных и муниципальных услуг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 наличии технической возможности)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личном кабинете Заявителя в ИАС «Селэкс – Цифровой регион» размещаются статусы о ходе предоставления Услуги и результат оказ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ания Услуги вне зависимости от способа обращения Заявителя за предоставлением Услуги.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II.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государственной услуги</w:t>
      </w:r>
    </w:p>
    <w:p w:rsidR="00061240" w:rsidRDefault="00061240">
      <w:pPr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Наименование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Выдача племенного свидетельства (паспорта) на племенную продукцию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(материал) (далее – племенное свидетельство).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Наименование органа, предоставляющего государственную услугу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 Услугу предоставляет Министерство сельского хозяйства и продовольствия Республики Татарстан (далее – Министерство).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2.3. Результатом предоставления государственной услуги является: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выдача племенного свидетельства (паспорта) на племенную продукцию (материал) (по форме, утвержденной приказом Минсельхоза России от 14 ноября 2017 г. № 577 «Об утве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рждении форм племенных свидетельств на племенную продукцию (материал) и признании утратившим силу приказа Минсельхоза России от 10 июня 2016 г. № 232»). Документ, содержащий решение о предоставлении Услуги, — само племенное свидетельство, в котором указаны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серия, регистрационный номер, номер бланка и дата выдачи;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уведомление об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отказе в выдаче племенного свидетельства (паспорта) на племенную продукцию (материал).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Услуги не фиксируется в какой-либо государственной информационной системе Республики Татарстан.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2.4. Способы получения результата предоставления Услуги.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Способ получения результата предоставления Услуги осуществляется в соответствии с выбранным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способом получения результата предоставления Услуги, указанным в запросе: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вручается Заявителю лично в Министерстве;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направляется заказным почтовым отправлением с уведомлением о вручении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Срок предоставления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2.5. Максимальный срок предоставления Услуги вне зависимости от способов подачи запроса и категорий (признаков) Заявителя о предоставления Услуги составляет не более 15 рабочих дней со дня регистрации в Министерстве, запроса и документов (Приложени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№ 3), необходимых для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тавления Услуги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>
        <w:rPr>
          <w:rStyle w:val="ae"/>
          <w:rFonts w:ascii="Times New Roman" w:eastAsia="Times New Roman" w:hAnsi="Times New Roman" w:cs="Times New Roman"/>
          <w:i w:val="0"/>
          <w:iCs w:val="0"/>
          <w:sz w:val="28"/>
          <w:szCs w:val="28"/>
          <w:lang w:eastAsia="zh-CN"/>
        </w:rPr>
        <w:t>не включая период между уведомлением Заявителя по телефону о необходимости подписания и постановки печати на племенное свидетельство и фактическим выполнением этих действий Заявителем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при подаче: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электронной форме, при обращении посредством ИАС «Селэкс – Цифровой регион» или Республиканского портала в течение 15 рабочих дней со дня регистрации;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форме документа на бумажном носителе посредством личного обращения в течение 15 рабочих дней со дня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регистрации в Министерстве;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форме направления по почте на бумажных носителях и в виде электронных документов, подписанных (заверенных) в соответствии с требованиями Федерального закона № 63-ФЗ, в течение 15 рабочих дней со дня регистрации в Министерстве.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Исчерпывающий перечень оснований для отказа в приеме документов, необходимых для предоставления государственной услуги, и исчерпывающий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перечень оснований для приостановления предоставления государственной услуги или для отказа в предоставлении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 Решение об отказе в приеме запроса и документов, необходимых для предоставления Услуги, принимает Министерство при наличии следующих оснований: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отсутствие одного или нескольких документов, приведенных в перечне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предоставления Услуги (Приложении № 3);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обращение за предоставлением Услуги лицом, не являющимся законным получателем Услуги;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некорректное заполнение обязательных полей в форме интерактивного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отсутствие необходимых сведений;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серьезные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повреждения документов, не позволяющие однозначно истолковать их содержание;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электронные документы не соответствуют требо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ваниям к форматам их предоставления и (или) не читаются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2.7. Основания для приостановления предоставления Услуги не предусмотрены.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2.8. Основаниями для отказа в предоставлении Услуги являются: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представление документов, содержащих недостоверные и (или) про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тиворечивые сведения;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отсутствие данных о племенной продукции (материале), необходимых для заполнения формы племенного свидетельства, выявленных в результате проведения экспертизы;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некорректное заполнение обязательных полей в электронной форме запроса, нал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ичие противоречивых сведений в электронной форме запроса и в представленных документах;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отзыв запроса на предоставление Услуги по инициативе Заявителя.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2.9. Основания, предусмотренные подпунктом 2.5.1. и 2.5.3. Регламента приведены в Приложении № 4.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 платы, взимаемой с Заявителя при предоставлении государственной услуги, и способы ее взимания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2.10. Государственная услуга предоставляется на безвозмездной основе.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ind w:right="-1"/>
        <w:jc w:val="center"/>
      </w:pPr>
      <w:r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sz w:val="28"/>
          <w:szCs w:val="28"/>
          <w:lang w:eastAsia="zh-CN"/>
        </w:rPr>
        <w:t>государственной</w:t>
      </w:r>
      <w:r>
        <w:rPr>
          <w:sz w:val="28"/>
          <w:szCs w:val="28"/>
          <w:lang w:eastAsia="zh-CN"/>
        </w:rPr>
        <w:t xml:space="preserve"> услуги</w:t>
      </w:r>
      <w:r>
        <w:rPr>
          <w:sz w:val="28"/>
          <w:szCs w:val="28"/>
        </w:rPr>
        <w:t xml:space="preserve"> и при получении результата предоставления </w:t>
      </w:r>
      <w:r>
        <w:rPr>
          <w:sz w:val="28"/>
          <w:szCs w:val="28"/>
          <w:lang w:eastAsia="zh-CN"/>
        </w:rPr>
        <w:t>государственной услуги</w:t>
      </w:r>
    </w:p>
    <w:p w:rsidR="00061240" w:rsidRDefault="00061240">
      <w:pPr>
        <w:ind w:right="-1" w:firstLine="427"/>
        <w:jc w:val="both"/>
        <w:rPr>
          <w:sz w:val="28"/>
          <w:szCs w:val="28"/>
        </w:rPr>
      </w:pPr>
    </w:p>
    <w:p w:rsidR="00061240" w:rsidRDefault="003E3A31">
      <w:pPr>
        <w:tabs>
          <w:tab w:val="left" w:pos="0"/>
        </w:tabs>
        <w:ind w:right="-1" w:firstLine="709"/>
      </w:pPr>
      <w:r>
        <w:rPr>
          <w:sz w:val="28"/>
          <w:szCs w:val="28"/>
        </w:rPr>
        <w:t xml:space="preserve">2.11. Время ожидания при подаче запроса на получение Услуги </w:t>
      </w:r>
      <w:r>
        <w:rPr>
          <w:sz w:val="28"/>
          <w:szCs w:val="28"/>
          <w:lang w:eastAsia="zh-CN"/>
        </w:rPr>
        <w:t>–</w:t>
      </w:r>
      <w:r>
        <w:rPr>
          <w:sz w:val="28"/>
          <w:szCs w:val="28"/>
        </w:rPr>
        <w:t xml:space="preserve"> не более 15 минут.</w:t>
      </w:r>
    </w:p>
    <w:p w:rsidR="00061240" w:rsidRDefault="003E3A31">
      <w:pPr>
        <w:pStyle w:val="Standard5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2.12. При получении результата предоставления Услуги максимальный срок ожидания в очереди не должен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превышать 15 минут.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3.13. Очередность для отдельных категорий Заявителей не установлена.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Срок регистрации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Заявителя о предоставлении</w:t>
      </w:r>
    </w:p>
    <w:p w:rsidR="00061240" w:rsidRDefault="003E3A31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2.14. При направлении запроса посредством ИАС «Селэкс – Цифровой регион» регистрация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 xml:space="preserve">оса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осуществляется в день подачи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2.15. При личном обращении или при направлении по почте на бумажных носителях в Министерство регистрация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осуществляется в день поступления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апрос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поступивший в электронной форме в выходной (праздн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ичный) день, регистрируется на следующий за выходным (праздничным) рабочий день.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2.16.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ведомление, подтверждающее, что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отправлено, в котором указываются регистрационный номер и дата подачи запроса.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 к помещениям, в которых предоставляется государственная услуга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2.17. Информация о требованиях к помещениям, в которых предост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авляется государственная услуга, размещаются на официальном сайте Министерства, Едином портале или Республиканском портале (при наличии технической возможности).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Показатели качества и доступности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2.18. Информация о показателях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доступности и качества предоставления государственной услуги размещается на официальном сайте Министерства, Едином портале или Республиканском портале (при наличии технической возможности).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 вправе оценить качество предоставления Услуги на официал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ьном сайте Министерства.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Иные требования к предоставлению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2.19. Предоставление необходимых и обязательных услуг не требуется.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2.20. Государственная услуга через многофункциональный центр предоставления государственных 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ых услуг не осуществляется.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2.21. Перечень информационных систем, используемых для предоставления Услуги: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ИАС «Селэкс – Цифровой регион»;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б) Республиканский портал (при наличии технической возможности).</w:t>
      </w:r>
    </w:p>
    <w:p w:rsidR="00061240" w:rsidRDefault="003E3A31">
      <w:pPr>
        <w:pStyle w:val="Standard5"/>
        <w:spacing w:after="0" w:line="240" w:lineRule="auto"/>
        <w:ind w:firstLine="709"/>
        <w:contextualSpacing/>
        <w:jc w:val="both"/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 xml:space="preserve">2.22. Особенности предоставления Услуги в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электронной форме.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Качество электронных документов (электронных образов документов) должно обеспечивать полное прочтение текста и корректное распознавание всех реквизитов.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zh-CN"/>
        </w:rPr>
        <w:lastRenderedPageBreak/>
        <w:t xml:space="preserve">Электронные документы (электронные образы документов), прилагаемые к запросу, в том 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zh-CN"/>
        </w:rPr>
        <w:t>числе доверенности, направляющиеся в виде файлов в форматах pdf, jpg, jpeg, png, tif, doc, docx, rtf, должны быть размером не более 50 МБ.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2.23. 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формация о порядке предоставления государственной услуги размещается на государственных языках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Татарстан.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Исчерпывающий перечень документов, </w:t>
      </w:r>
    </w:p>
    <w:p w:rsidR="00061240" w:rsidRDefault="003E3A31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необходимых для предоставления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2.24. Исчерпывающий перечень документов, необходимых для предоставления Услуги, приведён в Приложении № 3.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2.25. Форма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предоставлении Услуги, 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еобходимой для предоставления Услуги, приведена в Приложении № 5.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2.26. Перечень способов подачи 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zh-CN"/>
        </w:rPr>
        <w:t>запроса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 предоставлении Услуги и документов, необходимых для предоставления Услуги, приводится в Приложении № 6.</w:t>
      </w:r>
    </w:p>
    <w:p w:rsidR="00061240" w:rsidRDefault="00061240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III. Состав, последовательность и сроки выпо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лнения </w:t>
      </w: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административных процедур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осуществляемых при предоставлении государственной услуги</w:t>
      </w: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административных процедур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3.1. Описание состава и последовательности действий при предоставлении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и: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shd w:val="clear" w:color="auto" w:fill="81D41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рофилирование Заявителя;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прием запроса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документов для предоставления государственной услуги;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принятие решения о предоставлении (об отказе в предоставлении) государственной услуги;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подготовка результата предоставления государственной услуги;</w:t>
      </w:r>
    </w:p>
    <w:p w:rsidR="00061240" w:rsidRDefault="003E3A31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предоставление результата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услуги.</w:t>
      </w:r>
    </w:p>
    <w:p w:rsidR="00061240" w:rsidRDefault="003E3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3.2. Государственная услуга в упреждающем (проактивном) режиме не предоставляется.</w:t>
      </w:r>
    </w:p>
    <w:p w:rsidR="00061240" w:rsidRDefault="00061240">
      <w:pPr>
        <w:ind w:firstLine="709"/>
        <w:jc w:val="both"/>
        <w:rPr>
          <w:sz w:val="28"/>
          <w:szCs w:val="28"/>
          <w:lang w:eastAsia="zh-CN"/>
        </w:rPr>
      </w:pPr>
    </w:p>
    <w:p w:rsidR="00061240" w:rsidRDefault="003E3A31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:rsidR="00061240" w:rsidRDefault="00061240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240" w:rsidRDefault="003E3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 наличии технической возможности зая</w:t>
      </w:r>
      <w:r>
        <w:rPr>
          <w:sz w:val="28"/>
          <w:szCs w:val="28"/>
        </w:rPr>
        <w:t xml:space="preserve">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</w:t>
      </w:r>
      <w:r>
        <w:rPr>
          <w:sz w:val="28"/>
          <w:szCs w:val="28"/>
        </w:rPr>
        <w:t>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 в электронной форме;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лично, при личном обращении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 или по телефону;</w:t>
      </w:r>
    </w:p>
    <w:p w:rsidR="00061240" w:rsidRDefault="003E3A31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Республиканского портала в электронной форме.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1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условных обозначений и сокращений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 Министерство сельского хозяйства и продовольствия Республики            Татарстан – Министерство.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 Административный регламент предоставления государственной услуги по выдаче племенных свидетельств (паспортов) на племенную продукцию            (материал) – Регламент.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 Государственная услуга по выдаче племенных свидетельств (паспортов) на племенную продукцию (материал) – Услуга.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Портал государственных и муниципальных услуг Республики Татарстан (https://uslugi.tatarstan.ru/) – Республиканский портал.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5. Система информационно-аналитического обеспечения в области племенного животноводства «Селэкс – Цифровой регион»              (https://portal.plinor.ru).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Идентификаторы категорий (признаков) Заявителей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Результат предоставления услуги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Наименование отдельного признака Заявителя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Идентификатор отдельного признака Заявителей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Выдача (или уведомление об отказе в выдаче) племенного свидетельства (паспорта) на племенную продукцию (материал) (по форме, утвержденной приказом Министерства сельского хозяйства Российской Федерации от 14 ноября 2017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 2016 г. № 232»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Племенное хозяйство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Представитель Заявителя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Получение (или отказ в выдаче) дубликата племенного свидетельства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Племенное хозяйство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1Б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Представитель Заявителя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2Б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3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Исчерпывающий перечень документов, необходимых для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Иденти-фикатор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Расшифровка видов документов, предоставляемых Заявителем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Способ предоставления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Документы, которые Заявитель должен представить самостоятельно, для предоставления Услуги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Документ, удостоверяющий личность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2А, 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Документ, подтверждающий полномочия представителя Заявителя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Запрос о выдаче племенных (-ого) свидетельств (-а) (Приложение № 5).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Опись животных для выдачи племенных (-ого) свидетельств (-а) (Приложение № 7).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Справка о подтверждении достоверности происхождения племенного животного путем проведенной иммуногенетической или молекулярно-генетической экспертизы животного в лабораториях иммуногенетической или молекулярно-генетической экспертизы (в случае, если необходимо получение племенного свидетельства на племенную продукцию (материал) для крупного рогатого скота).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Заключение центра информационного обеспечения о подтверждении внесения актуальных данных о племенном животном, семени (сперме) крупного рогатого скота в ИАС (ИАС «Селэкс» с соответствующими конфигурациями и видами животных, ИАС «Оценка типа телосложения», ИАС «Картотека быков», федеральная государственная информационно-аналитическая система племенных ресурсов) в полном объеме.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Копия договора купли-продажи племенной продукции (материала).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Копия ветеринарно-сопроводительных документов, позволяющих идентифицировать подконтрольную племенную продукцию (материал).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Справка о подтверждении отсутствия генетических аномалий у быка (бычка) или быка, от которого было получено семя (сперма), 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прилагается при подаче запроса на выдачу племенных свидетельств (паспортов) на быка (бычка) молочного или мясного направления продуктивности, на семя (сперму) крупного рогатого скота.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Министерство, Республиканский портал,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ИАС «Селэкс – Цифровой регион»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Электронные документы (электронные образы документов), прилагаемые к запросу, в том числе доверенности, направляющиеся в виде файлов в форматах pdf, jpg, jpeg, png, tif, doc, docx, rtf, должны быть размером не более 50 МБ.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4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оснований для отказа в предоставлении государственной услуги и отказа в приеме запроса и документов, необходимых для предоставления государственной услуги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Идентификатор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Основания для отказа в приеме документов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Отсутствие одного или нескольких документов, приведенных в перечне документов, необходимых для получения государственной услуги (Приложение № 3)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Обращение за предоставлением Услуги лицом, не являющимся законным получателем Услуги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Некорректное заполнение обязательных полей в форме интерактивного запроса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Отсутствие необходимых сведений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Серьезные повреждения документов, не позволяющие однозначно истолковать их содержание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Запрос и иные документы в электронной форме подписаны с использованием электронной подписи с нарушением действующего законодательства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Электронные документы не соответствуют требованиям к форматам их предоставления и (или) не читаются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Основания для отказа в предоставлении государственной услуги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cr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Представление документов, содержащих недостоверные и (или) противоречивые сведения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Отсутствие данных о племенной продукции (материале), необходимых для заполнения формы племенного свидетельства, выявленных в результате проведения экспертизы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Некорректное заполнение обязательных полей в электронной форме запроса, наличие противоречивых сведений в электронной форме запроса и в представленных документах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1А-2А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1Б-2Б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Отзыв запроса на предоставление Услуги по инициативе Заявителя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5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В Министерство сельского хозяйства и продовольствия Республики Татарстан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организации-заявителя, телефон)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лиц: Ф.И.О. (отчество – при наличии), адрес почтовый или адрес электронной почты, телефон)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Запрос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 выдаче племенного свидетельства (паспорта) (дубликата племенного свидетельства) (дубликата паспорта)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выдать племенное(-ые) свидетельство(-а) (паспорт(а)) на племенную продукцию (материал)/дубликат (-ы) на 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(нужное подчеркнуть)                               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(наименование племенной продукции (материала) и порода) 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в количестве _____________ шт. в связи с 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(причина выдачи)  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в 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(наименование, адрес юридического лица правоприобретателя –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 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или фамилия, имя, отчество (при наличии), место жительства правоприобретателя – физического лица)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(способ получения результата предоставления государственной услуги)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Достоверность и полноту сведений, содержащихся в настоящем запросе и прилагающихся к нему документах, подтверждаю.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 готовности документа прошу известить меня ________________________.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(способ извещения)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Руководитель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(подпись)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Печать (при наличии) 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6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способов подачи запроса о предоставлении государственной услуги и документов, необходимых для предоставления государственной услуги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 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Способы подачи запроса о предоставлении государственной услуги и документов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Непосредственно Министерством посредством личного обращения либо направления по почте на бумажных носителях и в виде электронных документов, 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подписанных (заверенных) в соответствии с требованиями Федерального закона № 63-ФЗ.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 использованием ИАС «Селэкс – Цифровой регион» в электронной форме.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 использованием Республиканского портала в электронной форме (при наличии технической возможности).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7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В Министерство сельского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хозяйства и продовольствия Республики Татарстан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(наименование организации-заявителя)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лиц: Ф.И.О. (отчество – при наличии), адрес почтовый или адрес электронной почты)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Опись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животных для выдачи племенного (-ых) свидетельства (-в)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(паспорта (-ов))/дубликата (-ов)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(нужное подчеркнуть)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Идентификационный номер племенных сельскохозяйственных животных/материала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Инвентарный номер племенных сельскохозяйственных животных/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Дата рождения племенных сельскохозяйственных животных/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Порода племенных сельскохозяйственных животных/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Руководитель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(подпись)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Печать (при наличии)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8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Журнал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учета выдачи племенных свидетельств (паспортов) /дубликатов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п/п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Данные Заявителя (наименование организации, адрес юридического лица)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Дата подачи запроса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Данные о выданном племенном свидетельстве (паспорте) 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дубликате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Причина выдачи, отчуждения или иного перехода права собственности на племенную продукцию (материал)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Данные нового владельца племенной продукции (материала) (наименование организации, адрес юридического лица)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Данные письменного уведомления (дата отправки, причина отказа)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Дата получения племенного свидетельства (паспорта)/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дубликата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Фамилия, имя, отчество (при наличии), подпись лица, получившего племенное свидетельство (паспорт)/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дубликат наименование организации, адрес юридического лица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дата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серия и номер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9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(наименование организации-заявителя)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лиц: Ф.И.О. (отчество – при наличии), адрес почтовый или адрес электронной почты)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Уведомление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отказе в приеме документов, необходимых для выдачи племенного свидетельства (паспорта) (дубликата племенного свидетельства) (дубликата паспорта)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Сообщаем Вам об отказе в приёме документов для выдачи племенного (-ых) свидетельства (-в) паспорта (-ов) /дубликата (-ов) на 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(наименование племенной продукции (материала), количество)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Вашему запросу на выдачу племенного (-ых) свидетельства (-в)/(дубликата (-ов)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(исх. № ____ от «___»______ 20__ г.) в связи с________________________________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(причина отказа в приеме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документов для выдачи племенного свидетельства/дубликата)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Руководитель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(подпись)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Печать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10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(наименование организации-заявителя)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лиц: Ф.И.О. (отчество – при наличии), адрес почтовый или адрес электронной почты)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Уведомление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отказе в выдаче племенного свидетельства (паспорта) (дубликата племенного свидетельства) (дубликата паспорта)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Сообщаем   Вам   об   отказе в   выдаче племенного (-ых)   свидетельства (-в)      паспорта (-ов) /дубликата (-ов) на 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(наименование племенной продукции (материала), количество)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Вашему запросу на выдачу племенного (-ых) свидетельства (-в)/(дубликата (-ов)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(исх. № ____ от «___»______ 20__ г.) в связи с _______________________________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(причина отказа выдачи племенного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свидетельства/дубликата)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Руководитель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(подпись)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Печать 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11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В Министерство сельского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хозяйства и продовольствия Республики Татарстан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(наименование организации-заявителя)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лиц: Ф.И.О. (отчество – при наличии), адрес почтовый или адрес электронной почты)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Запрос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исправлении технической ошибки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Сообщаю об ошибке, допущенной при выдаче результата предоставления государственной услуги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_____________________________________________________________________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______________________________________________________________________,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физических лиц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в ____________________________________________________________________ 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выданного документа)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Указано _________________________________________________________ 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Правильные сведения: _____________________________________________ 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Прилагаю следующие документы: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>О готовности документа прошу известить меня ________________________.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(способ извещения)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Руководитель 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(подпись)</w:t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Ф.И.О. (отчество – при наличии)</w:t>
      </w:r>
    </w:p>
    <w:p w:rsidR="00713957" w:rsidRPr="00713957" w:rsidRDefault="00713957" w:rsidP="00713957">
      <w:pPr>
        <w:pStyle w:val="Standard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39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Печать (при наличии)</w:t>
      </w:r>
    </w:p>
    <w:p w:rsidR="00713957" w:rsidRDefault="00713957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713957">
      <w:headerReference w:type="default" r:id="rId6"/>
      <w:headerReference w:type="first" r:id="rId7"/>
      <w:pgSz w:w="11906" w:h="16838"/>
      <w:pgMar w:top="1153" w:right="567" w:bottom="1134" w:left="1134" w:header="588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31" w:rsidRDefault="003E3A31">
      <w:r>
        <w:separator/>
      </w:r>
    </w:p>
  </w:endnote>
  <w:endnote w:type="continuationSeparator" w:id="0">
    <w:p w:rsidR="003E3A31" w:rsidRDefault="003E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31" w:rsidRDefault="003E3A31">
      <w:r>
        <w:separator/>
      </w:r>
    </w:p>
  </w:footnote>
  <w:footnote w:type="continuationSeparator" w:id="0">
    <w:p w:rsidR="003E3A31" w:rsidRDefault="003E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40" w:rsidRDefault="003E3A31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 w:rsidR="0071395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40" w:rsidRDefault="003E3A31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40"/>
    <w:rsid w:val="00061240"/>
    <w:rsid w:val="003E3A31"/>
    <w:rsid w:val="007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883"/>
  <w15:docId w15:val="{7EFCE3C2-97D7-48DE-B842-6DF83687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Основной текст Знак"/>
    <w:basedOn w:val="a0"/>
    <w:qFormat/>
    <w:rPr>
      <w:rFonts w:eastAsia="Times New Roman"/>
      <w:sz w:val="24"/>
      <w:szCs w:val="24"/>
    </w:rPr>
  </w:style>
  <w:style w:type="character" w:customStyle="1" w:styleId="a4">
    <w:name w:val="Цветовое выделение"/>
    <w:qFormat/>
    <w:rPr>
      <w:b/>
      <w:color w:val="26282F"/>
    </w:rPr>
  </w:style>
  <w:style w:type="character" w:customStyle="1" w:styleId="a5">
    <w:name w:val="Верхний колонтитул Знак"/>
    <w:basedOn w:val="a0"/>
    <w:qFormat/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qFormat/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qFormat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rPr>
      <w:rFonts w:ascii="Times New Roman" w:eastAsia="Times New Roman" w:hAnsi="Times New Roman"/>
      <w:color w:val="0563C1"/>
      <w:sz w:val="24"/>
      <w:szCs w:val="24"/>
      <w:u w:val="single"/>
    </w:rPr>
  </w:style>
  <w:style w:type="character" w:styleId="a9">
    <w:name w:val="FollowedHyperlink"/>
    <w:basedOn w:val="a0"/>
    <w:rPr>
      <w:rFonts w:ascii="Times New Roman" w:eastAsia="Times New Roman" w:hAnsi="Times New Roman"/>
      <w:color w:val="954F72"/>
      <w:sz w:val="24"/>
      <w:szCs w:val="24"/>
      <w:u w:val="single"/>
    </w:rPr>
  </w:style>
  <w:style w:type="character" w:customStyle="1" w:styleId="aa">
    <w:name w:val="Основной текст с отступом Знак"/>
    <w:basedOn w:val="a0"/>
    <w:link w:val="ab"/>
    <w:qFormat/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ac">
    <w:name w:val="Цветовое выделение для Текст"/>
    <w:qFormat/>
  </w:style>
  <w:style w:type="character" w:styleId="ad">
    <w:name w:val="line number"/>
  </w:style>
  <w:style w:type="character" w:styleId="ae">
    <w:name w:val="Emphasis"/>
    <w:qFormat/>
    <w:rPr>
      <w:i/>
      <w:iCs/>
    </w:rPr>
  </w:style>
  <w:style w:type="character" w:styleId="af">
    <w:name w:val="Strong"/>
    <w:qFormat/>
    <w:rPr>
      <w:b/>
      <w:bCs/>
    </w:rPr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rPr>
      <w:sz w:val="28"/>
      <w:szCs w:val="28"/>
    </w:r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Обычная таблица1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f4">
    <w:name w:val="List Paragraph"/>
    <w:basedOn w:val="a"/>
    <w:qFormat/>
    <w:pPr>
      <w:ind w:left="1132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sz w:val="24"/>
      <w:szCs w:val="24"/>
    </w:rPr>
  </w:style>
  <w:style w:type="paragraph" w:customStyle="1" w:styleId="af5">
    <w:name w:val="Нормальный (таблица)"/>
    <w:basedOn w:val="a"/>
    <w:next w:val="a"/>
    <w:qFormat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qFormat/>
    <w:rPr>
      <w:rFonts w:ascii="Courier New" w:hAnsi="Courier New" w:cs="Courier New"/>
      <w:sz w:val="24"/>
      <w:szCs w:val="24"/>
    </w:rPr>
  </w:style>
  <w:style w:type="paragraph" w:customStyle="1" w:styleId="af7">
    <w:name w:val="Прижатый влево"/>
    <w:basedOn w:val="a"/>
    <w:next w:val="a"/>
    <w:qFormat/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c">
    <w:name w:val="Содержимое врезки"/>
    <w:basedOn w:val="a"/>
    <w:qFormat/>
  </w:style>
  <w:style w:type="paragraph" w:styleId="ab">
    <w:name w:val="Body Text Indent"/>
    <w:basedOn w:val="a"/>
    <w:link w:val="aa"/>
    <w:pPr>
      <w:spacing w:after="120"/>
      <w:ind w:left="283"/>
    </w:pPr>
  </w:style>
  <w:style w:type="paragraph" w:styleId="afd">
    <w:name w:val="Normal (Web)"/>
    <w:basedOn w:val="a"/>
    <w:qFormat/>
    <w:pPr>
      <w:widowControl/>
      <w:suppressAutoHyphens w:val="0"/>
      <w:spacing w:before="280" w:after="280"/>
    </w:pPr>
    <w:rPr>
      <w:kern w:val="0"/>
      <w:sz w:val="24"/>
      <w:szCs w:val="24"/>
    </w:rPr>
  </w:style>
  <w:style w:type="paragraph" w:customStyle="1" w:styleId="DStyleparagraph">
    <w:name w:val="DStyle_paragraph"/>
    <w:qFormat/>
    <w:rPr>
      <w:rFonts w:ascii="Calibri" w:eastAsia="Calibri" w:hAnsi="Calibri" w:cs="Arial"/>
      <w:sz w:val="22"/>
      <w:szCs w:val="22"/>
      <w:lang w:eastAsia="en-US" w:bidi="ar-SA"/>
    </w:rPr>
  </w:style>
  <w:style w:type="paragraph" w:customStyle="1" w:styleId="Standard">
    <w:name w:val="Standard"/>
    <w:basedOn w:val="DStyleparagraph"/>
    <w:qFormat/>
    <w:pPr>
      <w:spacing w:after="160" w:line="259" w:lineRule="auto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Standard1">
    <w:name w:val="Standard1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Standard2">
    <w:name w:val="Standard2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Standard3">
    <w:name w:val="Standard3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Standard4">
    <w:name w:val="Standard4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Standard5">
    <w:name w:val="Standard5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Standard6">
    <w:name w:val="Standard6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aff0">
    <w:name w:val="Нормальный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Standard7">
    <w:name w:val="Standard7"/>
    <w:basedOn w:val="DStyleparagraph"/>
    <w:qFormat/>
    <w:pPr>
      <w:spacing w:after="160" w:line="252" w:lineRule="auto"/>
    </w:pPr>
    <w:rPr>
      <w:color w:val="000000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numbering" w:customStyle="1" w:styleId="aff1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dc:description/>
  <cp:lastModifiedBy>Пользователь</cp:lastModifiedBy>
  <cp:revision>2</cp:revision>
  <cp:lastPrinted>2025-12-23T11:35:00Z</cp:lastPrinted>
  <dcterms:created xsi:type="dcterms:W3CDTF">2025-12-24T17:36:00Z</dcterms:created>
  <dcterms:modified xsi:type="dcterms:W3CDTF">2025-12-24T17:36:00Z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