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0" w:firstLine="6096"/>
        <w:rPr>
          <w:szCs w:val="28"/>
        </w:rPr>
      </w:pPr>
      <w:r>
        <w:rPr>
          <w:szCs w:val="28"/>
        </w:rPr>
        <w:t>Утверждаю:</w:t>
      </w:r>
    </w:p>
    <w:p>
      <w:pPr>
        <w:pStyle w:val="Normal"/>
        <w:spacing w:lineRule="auto" w:line="240" w:before="0" w:after="0"/>
        <w:ind w:right="0" w:firstLine="6096"/>
        <w:rPr>
          <w:szCs w:val="28"/>
        </w:rPr>
      </w:pPr>
      <w:r>
        <w:rPr>
          <w:szCs w:val="28"/>
        </w:rPr>
        <w:t xml:space="preserve">Заместитель министра экономики </w:t>
      </w:r>
    </w:p>
    <w:p>
      <w:pPr>
        <w:pStyle w:val="Normal"/>
        <w:spacing w:lineRule="auto" w:line="240" w:before="0" w:after="0"/>
        <w:ind w:right="0" w:firstLine="6096"/>
        <w:rPr>
          <w:szCs w:val="28"/>
        </w:rPr>
      </w:pPr>
      <w:r>
        <w:rPr>
          <w:szCs w:val="28"/>
        </w:rPr>
        <w:t xml:space="preserve">Республики Татарстан </w:t>
      </w:r>
    </w:p>
    <w:p>
      <w:pPr>
        <w:pStyle w:val="Normal"/>
        <w:spacing w:lineRule="auto" w:line="240" w:before="0" w:after="0"/>
        <w:ind w:right="0" w:firstLine="6096"/>
        <w:rPr>
          <w:szCs w:val="28"/>
        </w:rPr>
      </w:pPr>
      <w:r>
        <w:rPr>
          <w:szCs w:val="28"/>
        </w:rPr>
        <w:t>_______________ Г.И.Исмагилова</w:t>
      </w:r>
    </w:p>
    <w:p>
      <w:pPr>
        <w:pStyle w:val="Normal"/>
        <w:spacing w:lineRule="auto" w:line="276" w:before="0" w:after="0"/>
        <w:ind w:right="0" w:firstLine="637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 w:before="0" w:after="0"/>
        <w:ind w:right="0" w:firstLine="585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Доклад о правоприменительной практике</w:t>
      </w:r>
    </w:p>
    <w:p>
      <w:pPr>
        <w:pStyle w:val="Normal"/>
        <w:spacing w:lineRule="auto" w:line="276" w:before="0" w:after="0"/>
        <w:ind w:right="0" w:firstLine="585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контрольной (надзорной) деятельности Министерства экономики</w:t>
      </w:r>
    </w:p>
    <w:p>
      <w:pPr>
        <w:pStyle w:val="Normal"/>
        <w:spacing w:lineRule="auto" w:line="276" w:before="0" w:after="0"/>
        <w:ind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Республики Татарстан в сфере заготовки, хранения, переработки </w:t>
      </w:r>
    </w:p>
    <w:p>
      <w:pPr>
        <w:pStyle w:val="Normal"/>
        <w:spacing w:lineRule="auto" w:line="276" w:before="0" w:after="0"/>
        <w:ind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и реализации лома черных, цветных металлов за 2025 год</w:t>
      </w:r>
    </w:p>
    <w:p>
      <w:pPr>
        <w:pStyle w:val="Normal"/>
        <w:spacing w:lineRule="auto" w:line="276" w:before="0" w:after="0"/>
        <w:ind w:right="0"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Обобщение и анализ правоприменительной практики контрольной (надзорной) деятельности Министерства экономики Республики Татарстан (далее </w:t>
      </w:r>
      <w:r>
        <w:rPr/>
        <w:drawing>
          <wp:inline distT="0" distB="0" distL="0" distR="0">
            <wp:extent cx="97790" cy="18415"/>
            <wp:effectExtent l="0" t="0" r="0" b="0"/>
            <wp:docPr id="1" name="Picture 14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4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министерство) за 2025 год подготовлен во исполнение статьи 47 Федерального закона от 31 июля 2020 года № 248-ФЗ «О государственном контроле (надзоре) и муниципальном контроле в Российской Федерации» (далее — Закон № 248-ФЗ), пункта 37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 г. № 980 (далее – Постановление № 980, Положение о лицензировании), на основании Методических рекомендаций по 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 и разрешительных функций федеральных органов исполнительной власти Правительственной комиссии по проведению административной реформы от 09.09.2016 № 7.</w:t>
      </w:r>
    </w:p>
    <w:p>
      <w:pPr>
        <w:pStyle w:val="Normal"/>
        <w:spacing w:lineRule="auto" w:line="276" w:before="0" w:after="0"/>
        <w:ind w:right="0" w:hanging="0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276" w:before="0" w:after="0"/>
        <w:ind w:left="0" w:righ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1.Организация и проведение мероприятий</w:t>
      </w:r>
    </w:p>
    <w:p>
      <w:pPr>
        <w:pStyle w:val="ListParagraph"/>
        <w:spacing w:lineRule="auto" w:line="276" w:before="0" w:after="0"/>
        <w:ind w:left="1080" w:right="0" w:hanging="0"/>
        <w:contextualSpacing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 контролю (надзору) в подконтрольной сфере деятельности</w:t>
      </w:r>
    </w:p>
    <w:p>
      <w:pPr>
        <w:pStyle w:val="ListParagraph"/>
        <w:spacing w:lineRule="auto" w:line="276" w:before="0" w:after="0"/>
        <w:ind w:left="1080" w:right="0" w:hanging="0"/>
        <w:contextualSpacing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 рамках контрольной (надзорной) деятельности и в соответствии с закрепленными постановлением Кабинета Министров Республики Татарстан от 23.07.2007 № 325 «Вопросы Министерства экономики Республики Татарстан» полномочиями министерство осуществляет государственный контроль (надзор) в отношении юридических лиц и индивидуальных предпринимателей, осуществляющих деятельность по заготовке, хранению, переработке и реализации лома черных, цветных металлов на основании лицензии, предоставленной министерством (далее – лицензиаты).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Постановлением № 980 определено, что лицензионный контроль осуществляется посредством проведения профилактических мероприятий, плановых и внеплановых контрольных (надзорных) мероприятий в соответствии с Законом № 248-ФЗ.</w:t>
      </w:r>
    </w:p>
    <w:p>
      <w:pPr>
        <w:pStyle w:val="ConsPlusNormal"/>
        <w:widowControl w:val="false"/>
        <w:bidi w:val="0"/>
        <w:spacing w:lineRule="auto" w:line="276"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 контрольным (надзорным) мероприятиям в сфере заготовки, хранения, переработки и реализации лома черных металлов, цветных металлов Постановлением № 980 отнесены выездная пров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ерка, документарная проверка и инспекционный визит. </w:t>
      </w:r>
    </w:p>
    <w:p>
      <w:pPr>
        <w:pStyle w:val="ConsPlusNormal"/>
        <w:widowControl w:val="false"/>
        <w:bidi w:val="0"/>
        <w:spacing w:lineRule="auto" w:line="276"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Пунктом 35 Постановления № 980 определено, что при осуществлении лицензионного контроля проводятся следующие виды профилактических мероприятий:</w:t>
      </w:r>
    </w:p>
    <w:p>
      <w:pPr>
        <w:pStyle w:val="ConsPlusNormal"/>
        <w:spacing w:lineRule="auto" w:line="276"/>
        <w:ind w:right="95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информирование;</w:t>
      </w:r>
    </w:p>
    <w:p>
      <w:pPr>
        <w:pStyle w:val="ConsPlusNormal"/>
        <w:spacing w:lineRule="auto" w:line="276"/>
        <w:ind w:right="95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обобщение правоприменительной практики;</w:t>
      </w:r>
    </w:p>
    <w:p>
      <w:pPr>
        <w:pStyle w:val="ConsPlusNormal"/>
        <w:spacing w:lineRule="auto" w:line="276"/>
        <w:ind w:right="95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объявление предостережения;</w:t>
      </w:r>
    </w:p>
    <w:p>
      <w:pPr>
        <w:pStyle w:val="ConsPlusNormal"/>
        <w:spacing w:lineRule="auto" w:line="276"/>
        <w:ind w:right="95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консультирование;</w:t>
      </w:r>
    </w:p>
    <w:p>
      <w:pPr>
        <w:pStyle w:val="ConsPlusNormal"/>
        <w:spacing w:lineRule="auto" w:line="276"/>
        <w:ind w:right="95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профилактический визит.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ind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Плановые, внеплановые проверки 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>Постановлением Правительства Российской Федерации от 10 марта 2022 г.      № 336 «Об особенностях организации и осуществления государственного контроля (надзора), муниципального контроля» установлено,</w:t>
      </w:r>
      <w:r>
        <w:rPr>
          <w:sz w:val="28"/>
          <w:szCs w:val="28"/>
        </w:rPr>
        <w:t xml:space="preserve"> что до 2030 года в планы проведения плановых контрольных (надзорных) мероприятий, порядок организации и осуществления которых регулируется Законом № 248-ФЗ,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риска.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Среди лицензиатов отсутствуют предприятия, отнесенные к категориям чрезвычайно высокого и высокого риска. В этой связи план проведения плановых проверок на 2025 год не утверждался, плановые проверки не проводились.</w:t>
      </w:r>
    </w:p>
    <w:p>
      <w:pPr>
        <w:pStyle w:val="Normal"/>
        <w:spacing w:lineRule="auto" w:line="276" w:before="0" w:after="0"/>
        <w:ind w:right="0" w:hanging="0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pacing w:lineRule="auto" w:line="276" w:before="0" w:after="0"/>
        <w:ind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u w:val="single"/>
        </w:rPr>
        <w:t>Категорирование объектов контроля по рискам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Статьей 22 Закона № 248-ФЗ определено, что государственный контроль (надзор)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>
      <w:pPr>
        <w:pStyle w:val="Normal"/>
        <w:spacing w:lineRule="auto" w:line="276" w:before="0" w:after="0"/>
        <w:ind w:right="0" w:firstLine="709"/>
        <w:rPr/>
      </w:pPr>
      <w:r>
        <w:rPr>
          <w:sz w:val="28"/>
          <w:szCs w:val="28"/>
        </w:rPr>
        <w:t>В соответствии со статьей 23 Закона № 248-ФЗ, пунктом 22 Положения о лицензиров</w:t>
      </w:r>
      <w:r>
        <w:rPr>
          <w:b w:val="false"/>
          <w:bCs w:val="false"/>
          <w:sz w:val="28"/>
          <w:szCs w:val="28"/>
        </w:rPr>
        <w:t>ании, пунктом 5 (1)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утвержденного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отнесение объектов контроля к категориям риска причинения вреда (ущерба) осуществлялось на постоянной основе путем внесения сведений об объекте и подписания в личном кабинете уполномоченного лица министерства в Едином реестре видов контроля — подсистемы Федерального реестра государственных и муниципальных услуг (функций) контрольных (надзорных) органов.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Все объекты контроля в подконтрольной министерству сфере деятельности отнесены к средней либо низкой категории риска, к высокой категории риска не отнесен ни один из объектов контроля.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 случае если объект лицензионного контроля не отнесен к определенной категории риска, он считается отнесенным к категории низкого риска.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Планирование контрольных (надзорных), профилактических мероприятий осуществляется министерством в соответствии с категориями риска объектов контроля.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Пунктом 28 Положения о лицензировании,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установлено, что для категории среднего риска проводится не более одного обязательного профилактического визита в 5 лет. 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Для категории среднего и низкого риска плановые контрольные (надзорные) мероприятия не проводятся.</w:t>
      </w:r>
    </w:p>
    <w:p>
      <w:pPr>
        <w:pStyle w:val="Normal"/>
        <w:spacing w:lineRule="auto" w:line="276" w:before="0" w:after="0"/>
        <w:ind w:left="58" w:right="0"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 w:before="0" w:after="0"/>
        <w:ind w:left="58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 Соблюдение обязательных требований</w:t>
      </w:r>
    </w:p>
    <w:p>
      <w:pPr>
        <w:pStyle w:val="Normal"/>
        <w:spacing w:lineRule="auto" w:line="276" w:before="0" w:after="0"/>
        <w:ind w:left="58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u w:val="single"/>
        </w:rPr>
        <w:t>Перечни нормативных правовых актов, содержащих обязательные требования, соблюдение которых оценивается при проведении министерством государственного контроля (надзора) в сфере заготовки, хранения, переработки и реализации лома черных, цветных металлов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>
          <w:sz w:val="28"/>
          <w:szCs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лицензионного контроля деятельности по заготовке, хранению, переработке и реализации лома черных металлов, цветных металлов, сформирован на основании Положения о лицензировании, утвержден приказом министра экономики Республики Татарстан № 349 от 22.09.2022 и размещен на официальном сайте министерства (</w:t>
      </w:r>
      <w:hyperlink r:id="rId3">
        <w:r>
          <w:rPr>
            <w:rStyle w:val="-"/>
            <w:sz w:val="28"/>
            <w:szCs w:val="28"/>
          </w:rPr>
          <w:t>https://mert.tatarstan.ru/license.htm</w:t>
        </w:r>
      </w:hyperlink>
      <w:r>
        <w:rPr>
          <w:sz w:val="28"/>
          <w:szCs w:val="28"/>
        </w:rPr>
        <w:t>).</w:t>
      </w:r>
    </w:p>
    <w:p>
      <w:pPr>
        <w:pStyle w:val="Normal"/>
        <w:spacing w:lineRule="auto" w:line="276" w:before="0" w:after="0"/>
        <w:ind w:left="51" w:right="0" w:firstLine="54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Министерством проводится на постоянной основе работа по оценке актуальности и полноты перечня и текстов правовых актов, содержащих обязательные требования, осуществляется мониторинг обязательных требований, содержащихся в нормативных правовых актах, применяемых при осуществлении министерством мероприятий по контролю (надзору), и актуализация указанных перечней.</w:t>
      </w:r>
    </w:p>
    <w:p>
      <w:pPr>
        <w:pStyle w:val="Normal"/>
        <w:spacing w:lineRule="auto" w:line="276" w:before="0" w:after="0"/>
        <w:ind w:left="51" w:right="0" w:firstLine="54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Приказом Министерства промышленности и торговли Российской Федерации от 30.06.2023 № 2409 утверждены индикаторы риска нарушения обязательных требований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металлов:</w:t>
      </w:r>
    </w:p>
    <w:p>
      <w:pPr>
        <w:pStyle w:val="Style18"/>
        <w:spacing w:lineRule="auto" w:line="276" w:before="0" w:after="0"/>
        <w:ind w:left="52" w:right="0" w:firstLine="547"/>
        <w:rPr>
          <w:rFonts w:ascii="Times New Roman" w:hAnsi="Times New Roman"/>
          <w:sz w:val="28"/>
          <w:szCs w:val="28"/>
        </w:rPr>
      </w:pPr>
      <w:r>
        <w:rPr>
          <w:b w:val="false"/>
          <w:sz w:val="28"/>
          <w:szCs w:val="28"/>
        </w:rPr>
        <w:t>Поступление в лицензирующий орган заявления о предоставлении лицензии на осуществление деятельности по заготовке, хранению, переработке и реализации лома черных и цветных металлов (о внесении изменений в реестр лицензий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производственный объект которого, заявленный (используемый) для осуществления деятельности по заготовке, хранению, переработке 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лицензирующем органе направленного таким лицензиатом заявления о внесении изменений в реестр лицензий на осуществление деятельности по заготовке, хранению, переработке и реализации лома черных и цветных металлов в связи с прекращением осуществления деятельности по заготовке, хранению, переработке и реализации лома черных и цветных металлов на указанном производственном объекте, либо заявления о прекращении деятельности;</w:t>
      </w:r>
    </w:p>
    <w:p>
      <w:pPr>
        <w:pStyle w:val="Style18"/>
        <w:spacing w:lineRule="auto" w:line="276" w:before="0" w:after="0"/>
        <w:ind w:left="52" w:right="0" w:firstLine="547"/>
        <w:rPr>
          <w:rFonts w:ascii="Times New Roman" w:hAnsi="Times New Roman"/>
          <w:sz w:val="28"/>
          <w:szCs w:val="28"/>
        </w:rPr>
      </w:pPr>
      <w:r>
        <w:rPr>
          <w:b w:val="false"/>
          <w:sz w:val="28"/>
          <w:szCs w:val="28"/>
        </w:rPr>
        <w:t>Поступление в лицензирующий орган заявления о предоставлении лицензии на осуществление деятельности по заготовке, хранению, переработке и реализации лома черных и цветных металлов (о внесении изменений в реестр лицензий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производственное оборудование которого, заявленное (используемое) для осуществления деятельности по заготовке, хранению, переработке 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лицензирующем органе направленного таким лицензиатом заявления о прекращении деятельности по заготовке, хранению, переработке и реализации лома черных и цветных металлов.</w:t>
      </w:r>
    </w:p>
    <w:p>
      <w:pPr>
        <w:pStyle w:val="Style18"/>
        <w:spacing w:lineRule="auto" w:line="276" w:before="0" w:after="0"/>
        <w:ind w:left="52" w:right="0" w:firstLine="547"/>
        <w:rPr>
          <w:rFonts w:ascii="Times New Roman" w:hAnsi="Times New Roman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76" w:before="0" w:after="0"/>
        <w:ind w:right="0" w:firstLine="709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u w:val="single"/>
        </w:rPr>
        <w:t>Типовые нарушения обязательных требований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Мораторий на проведение плановых проверок не позволяет вывести заключение о типовых нарушениях, выявленных в ходе планового контроля, тем не менее, исходя из результатов профилактических визитов, можно определенно говорить о наиболее часто встречающихся следующих нарушениях. 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 части наличия объектов недвижимости - несоответствие договоров аренды нормам Гражданского кодекса Российской Федерации; истечение сроков их действия.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 части наличия оборудования и технической документации - истечение сроков поверки оборудования; отсутствие на объекте технической документации на момент проведения профилактического визита.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 части наличия квалифицированных работников – отсутствие либо истечение сроков действия квалификационных документов работников (удостоверений, свидетельств, аттестатов и т.д.); несоответствие трудовых договоров нормам Трудового кодекса Российской Федерации; отсутствие трудовых документов работников.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 части наличия и правильного оформления первичных документов по приему лома металлов - нарушения в части оформления первичной документации по приему лома металлов: приемосдаточных актов, книг учета приемосдаточных актов, журналов отгрузки лома металлов, а именно:</w:t>
      </w:r>
    </w:p>
    <w:p>
      <w:pPr>
        <w:pStyle w:val="Normal"/>
        <w:spacing w:lineRule="auto" w:line="276" w:before="0" w:after="0"/>
        <w:ind w:left="57" w:right="0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не заполнение отдельных строк актов, граф книги, в том числе отметки о проведении радиационного и взрывобезопасного контроля;</w:t>
      </w:r>
    </w:p>
    <w:p>
      <w:pPr>
        <w:pStyle w:val="Normal"/>
        <w:spacing w:lineRule="auto" w:line="276" w:before="0" w:after="0"/>
        <w:ind w:left="57" w:right="0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указание в графах недостоверной информации в части наименования сданного лома, веса, марки, засора и их соответствия между собой;</w:t>
      </w:r>
    </w:p>
    <w:p>
      <w:pPr>
        <w:pStyle w:val="Normal"/>
        <w:spacing w:lineRule="auto" w:line="276" w:before="0" w:after="0"/>
        <w:ind w:left="57" w:right="0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прием лома по документам, не являющимся документами, удостоверяющими личность (водительские права).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u w:val="single"/>
        </w:rPr>
        <w:t>Профилактические мероприятия, направленные на недопущение нарушений обязательных требований</w:t>
      </w:r>
    </w:p>
    <w:p>
      <w:pPr>
        <w:pStyle w:val="Normal"/>
        <w:spacing w:lineRule="auto" w:line="276" w:before="0" w:after="0"/>
        <w:ind w:left="51" w:right="0" w:firstLine="69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 рамках проведения работы, направленной на предупреждение нарушений лицензиатами обязательных требований, соблюдение которых оценивается министерством при проведении мероприятий по контролю, в 2025 году министерством осуществлялись профилактические мероприятия, предусмотренные Программой Министерства экономики Республики Татарстан профилактики рисков причинения вреда охраняемым законом ценностям в сфере заготовки, хранения, переработки и реализации лома черных металлов, цветных металлов, утвержденной приказом министра экономики Республики Татарстан от 26 ноября 2023 г. № 226 (далее — Программа). 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Целями Программы являются:</w:t>
      </w:r>
    </w:p>
    <w:p>
      <w:pPr>
        <w:pStyle w:val="Normal"/>
        <w:spacing w:lineRule="auto" w:line="276" w:before="0" w:after="0"/>
        <w:ind w:right="0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spacing w:lineRule="auto" w:line="276" w:before="0" w:after="0"/>
        <w:ind w:right="0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76" w:before="0" w:after="0"/>
        <w:ind w:left="51" w:right="0" w:firstLine="69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Задачами Программы являются: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выявление причин и условий, способствующих нарушениям обязательных требований; 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формирование единого понимания обязательных требований у всех контролируемых лиц;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повышение уровня информированности контролируемых лиц;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поддержание мотивации к добросовестному поведению.  </w:t>
      </w:r>
    </w:p>
    <w:p>
      <w:pPr>
        <w:pStyle w:val="Normal"/>
        <w:spacing w:lineRule="auto" w:line="276" w:before="0" w:after="0"/>
        <w:ind w:right="0"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 2025 году Министерством в рамках Программы осуществлялось: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анализ и обобщение правоприменительной практики;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обсуждение с лицензиатами актуальных вопросов, поступивших в ходе консультирования;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проведение профилактических визитов;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регулярный мониторинг законодательства в части установления обязательных требований;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мониторинг перечня нормативных правовых актов, регулирующих осуществление подконтрольной деятельности, поддержание в актуальном состоянии данного перечня на сайте министерства;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разъяснительная работа относительно процедур контроля, в том числе размещение в открытых источниках описаний процессов проведения контрольных надзорных мероприятий, профилактических мероприятий;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размещение на официальном сайте перечня обязательных требований, оценка соблюдения которых является предметом контроля (надзора), профилактики;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информирование подконтрольных субъектов по вопросам соблюдения обязательных требований с использованием информационных технологий, в том числе: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ведение на сайте министерства «Дистанционной школы лицензиата»;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опубликование обзоров типовых нарушений обязательных требований с описанием способов их недопущения;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подготовка и опубликование руководств по соблюдению обязательных требований;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подготовка комментариев об изменениях в законодательстве, проактивное консультирование лицензиатов;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проведение консультаций по разъяснению обязательных требований;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повышение квалификации должностных лиц министерства, осуществляющих контрольную (надзорную) деятельность в подконтрольной сфере;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поддержание системы обратной связи с подконтрольными субъектами по вопросам применения обязательных требований;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разработка и размещение на сайте министерства чек-листов, позволяющих лицензиату, соискателю лицензии самостоятельно оценить исполнение обязательных требований.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>
          <w:sz w:val="28"/>
          <w:szCs w:val="28"/>
        </w:rPr>
        <w:t>В целях достижения открытости и доступности информации на сайте министерства организован специальный раздел «Профилактика нарушений обязательных требований» (</w:t>
      </w:r>
      <w:hyperlink r:id="rId4">
        <w:r>
          <w:rPr>
            <w:rStyle w:val="-"/>
            <w:sz w:val="28"/>
            <w:szCs w:val="28"/>
          </w:rPr>
          <w:t>https://mert.tatarstan.ru/profilaktika-narusheniy-litsenzionnih-trebovaniy.htm</w:t>
        </w:r>
      </w:hyperlink>
      <w:r>
        <w:rPr>
          <w:sz w:val="28"/>
          <w:szCs w:val="28"/>
        </w:rPr>
        <w:t>),</w:t>
      </w:r>
      <w:bookmarkStart w:id="0" w:name="_GoBack"/>
      <w:bookmarkEnd w:id="0"/>
      <w:r>
        <w:rPr>
          <w:sz w:val="28"/>
          <w:szCs w:val="28"/>
        </w:rPr>
        <w:t xml:space="preserve"> в состав которого входят в том числе, подразделы: 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доклады, содержащие результаты обобщения правоприменительной практики;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Программа Министерства экономики Республики Татарстан профилактики рисков причинения вреда охраняемым законом ценностям в сфере заготовки, хранения, переработки и реализации лома черных металлов, цветных металлов;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руководство по соблюдению обязательных требований, выполнение которых оценивается в ходе проведения мероприятий при осуществлении государственного контроля в сфере деятельности по заготовке, хранению, переработке и реализации лома черных, цветных металлов;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типовые нарушения и разъяснения к ним.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>
          <w:sz w:val="28"/>
          <w:szCs w:val="28"/>
        </w:rPr>
        <w:t>Также на сайте министерства организована Дистанционная школа лицензиата (</w:t>
      </w:r>
      <w:hyperlink r:id="rId5">
        <w:r>
          <w:rPr>
            <w:rStyle w:val="-"/>
            <w:sz w:val="28"/>
            <w:szCs w:val="28"/>
          </w:rPr>
          <w:t>https://mert.tatarstan.ru/Remote_school_of_the_licensee.htm</w:t>
        </w:r>
      </w:hyperlink>
      <w:r>
        <w:rPr>
          <w:sz w:val="28"/>
          <w:szCs w:val="28"/>
        </w:rPr>
        <w:t xml:space="preserve">), где в доступной форме изложены как общие вопросы лицензирования и контроля, так и особенности их процедур, сложности, провоцирующие совершение нарушений. 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>
          <w:sz w:val="28"/>
          <w:szCs w:val="28"/>
        </w:rPr>
        <w:t>В разделах «Часто задаваемые вопросы» (</w:t>
      </w:r>
      <w:hyperlink r:id="rId6">
        <w:r>
          <w:rPr>
            <w:rStyle w:val="-"/>
            <w:sz w:val="28"/>
            <w:szCs w:val="28"/>
          </w:rPr>
          <w:t>https://mert.tatarstan.ru/index.htm/faq/2201.htm</w:t>
        </w:r>
      </w:hyperlink>
      <w:r>
        <w:rPr>
          <w:color w:val="auto"/>
          <w:sz w:val="28"/>
          <w:szCs w:val="28"/>
        </w:rPr>
        <w:t>) и «Полезная информация» (</w:t>
      </w:r>
      <w:hyperlink r:id="rId7">
        <w:r>
          <w:rPr>
            <w:rStyle w:val="-"/>
            <w:sz w:val="28"/>
            <w:szCs w:val="28"/>
          </w:rPr>
          <w:t>https://mert.tatarstan.ru/poleznaya-informatsiya.htm</w:t>
        </w:r>
      </w:hyperlink>
      <w:r>
        <w:rPr>
          <w:color w:val="auto"/>
          <w:sz w:val="28"/>
          <w:szCs w:val="28"/>
        </w:rPr>
        <w:t>) р</w:t>
      </w:r>
      <w:r>
        <w:rPr>
          <w:sz w:val="28"/>
          <w:szCs w:val="28"/>
        </w:rPr>
        <w:t>азмещены дополнительные сведения, разъясняющие отдельные особенности применения законодательства и также направленные на исключение нарушений в деятельности лицензиатов, соискателей лицензий.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>
          <w:sz w:val="28"/>
          <w:szCs w:val="28"/>
        </w:rPr>
        <w:t xml:space="preserve">В целях организации обратной связи на сайте министерства размещена доступная для заполнения анкета для соискателей лицензии и подконтрольных субъектов по вопросам качества услуги лицензирования, эффективности государственного лицензионного контроля    </w:t>
      </w:r>
      <w:r>
        <w:rPr>
          <w:color w:val="auto"/>
          <w:sz w:val="28"/>
          <w:szCs w:val="28"/>
        </w:rPr>
        <w:t>(</w:t>
      </w:r>
      <w:hyperlink r:id="rId8">
        <w:r>
          <w:rPr>
            <w:rStyle w:val="-"/>
            <w:sz w:val="28"/>
            <w:szCs w:val="28"/>
          </w:rPr>
          <w:t>https://mert.tatarstan.ru/licensing/opros.htm</w:t>
        </w:r>
      </w:hyperlink>
      <w:r>
        <w:rPr>
          <w:color w:val="auto"/>
          <w:sz w:val="28"/>
          <w:szCs w:val="28"/>
        </w:rPr>
        <w:t xml:space="preserve">), </w:t>
      </w:r>
      <w:r>
        <w:rPr>
          <w:b w:val="false"/>
          <w:bCs w:val="false"/>
          <w:color w:val="auto"/>
          <w:sz w:val="28"/>
          <w:szCs w:val="28"/>
        </w:rPr>
        <w:t>кроме того, сбор обратной связи осуществляется путем направления ссылки на анонимный онлайн-опрос, размещенный на платформе Яндекс-формы.</w:t>
      </w:r>
    </w:p>
    <w:p>
      <w:pPr>
        <w:pStyle w:val="Normal"/>
        <w:spacing w:lineRule="auto" w:line="276" w:before="0" w:after="0"/>
        <w:ind w:left="52" w:right="0" w:firstLine="700"/>
        <w:rPr/>
      </w:pPr>
      <w:r>
        <w:rPr>
          <w:color w:val="auto"/>
          <w:sz w:val="28"/>
          <w:szCs w:val="28"/>
        </w:rPr>
        <w:t>На сайте размещены утвержденные проверочные листы в формате, допускающем их использование для самообследования лицензиатов (</w:t>
      </w:r>
      <w:hyperlink r:id="rId9">
        <w:r>
          <w:rPr>
            <w:rStyle w:val="-"/>
            <w:sz w:val="28"/>
            <w:szCs w:val="28"/>
          </w:rPr>
          <w:t>https://mert.tatarstan.ru/utverzhdennie-proverochnie-listi-v-formate.htm</w:t>
        </w:r>
      </w:hyperlink>
      <w:r>
        <w:rPr>
          <w:sz w:val="28"/>
          <w:szCs w:val="28"/>
        </w:rPr>
        <w:t xml:space="preserve">). 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  <w:shd w:fill="FFFFFF" w:val="clear"/>
        </w:rPr>
        <w:t xml:space="preserve">В 2025 году было запланировано к проведению 17 обязательных профилактических визитов, из которых проведено 12; 1 лицензиат прекратил действие в качестве индивидуального предпринимателя, 4 лицензиата прекратили действие лицензии — составлены акты о невозможности проведения обязательного профилактического визита. Кроме того, проведены 4 профилактических визита по инициативе контролируемого лица. </w:t>
      </w:r>
      <w:r>
        <w:rPr>
          <w:sz w:val="28"/>
          <w:szCs w:val="28"/>
        </w:rPr>
        <w:t xml:space="preserve">В этой связи были приняты меры по популяризации такого вида контрольного (надзорного) мероприятия в ходе </w:t>
      </w:r>
      <w:r>
        <w:rPr>
          <w:b w:val="false"/>
          <w:bCs w:val="false"/>
          <w:sz w:val="28"/>
          <w:szCs w:val="28"/>
        </w:rPr>
        <w:t>осуществления информирования, консультирования. В течение 2025 года отделом лицензирования проведено 293 консультаци</w:t>
      </w:r>
      <w:r>
        <w:rPr>
          <w:b w:val="false"/>
          <w:bCs w:val="false"/>
          <w:sz w:val="28"/>
          <w:szCs w:val="28"/>
        </w:rPr>
        <w:t>и</w:t>
      </w:r>
      <w:r>
        <w:rPr>
          <w:b w:val="false"/>
          <w:bCs w:val="false"/>
          <w:sz w:val="28"/>
          <w:szCs w:val="28"/>
        </w:rPr>
        <w:t xml:space="preserve"> различными способами (дистанционно по телефону, электронной почте, очно, в т.ч. в рамках проведения профилактических визитов и проведения оценки соответствия лицензионным требованиям).</w:t>
      </w:r>
    </w:p>
    <w:p>
      <w:pPr>
        <w:pStyle w:val="Normal"/>
        <w:spacing w:lineRule="auto" w:line="276" w:before="0" w:after="0"/>
        <w:ind w:left="52" w:right="0" w:firstLine="70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На постоянной основе на официальном сайте министерства обеспечивается объективное и всестороннее информационное освещение деятельности министерства, направленное на предотвращение нарушений обязательных требований, в части информирования подконтрольных субъектов о проводимых контрольных надзорных мероприятиях, выявленных нарушениях и принятых по результатам проведенных мероприятий мерах.</w:t>
      </w:r>
    </w:p>
    <w:sectPr>
      <w:headerReference w:type="even" r:id="rId10"/>
      <w:headerReference w:type="default" r:id="rId11"/>
      <w:type w:val="nextPage"/>
      <w:pgSz w:w="11906" w:h="16838"/>
      <w:pgMar w:left="1134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38" w:right="0" w:hanging="0"/>
      <w:jc w:val="center"/>
      <w:rPr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0</w:t>
    </w:r>
    <w:r>
      <w:rPr>
        <w:sz w:val="24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19211959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Normal"/>
      <w:spacing w:lineRule="auto" w:line="259" w:before="0" w:after="0"/>
      <w:ind w:left="38" w:right="0" w:hanging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"/>
      <w:ind w:right="950" w:firstLine="70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71b6"/>
    <w:rPr>
      <w:rFonts w:ascii="Tahoma" w:hAnsi="Tahoma" w:eastAsia="Times New Roman" w:cs="Tahoma"/>
      <w:color w:val="000000"/>
      <w:sz w:val="16"/>
      <w:szCs w:val="16"/>
    </w:rPr>
  </w:style>
  <w:style w:type="character" w:styleId="Style15" w:customStyle="1">
    <w:name w:val="Нижний колонтитул Знак"/>
    <w:basedOn w:val="DefaultParagraphFont"/>
    <w:uiPriority w:val="99"/>
    <w:qFormat/>
    <w:rsid w:val="00b279e3"/>
    <w:rPr>
      <w:rFonts w:ascii="Times New Roman" w:hAnsi="Times New Roman" w:eastAsia="Times New Roman" w:cs="Times New Roman"/>
      <w:color w:val="000000"/>
      <w:sz w:val="28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279e3"/>
    <w:rPr>
      <w:rFonts w:cs="Times New Roman"/>
    </w:rPr>
  </w:style>
  <w:style w:type="character" w:styleId="-">
    <w:name w:val="Hyperlink"/>
    <w:basedOn w:val="DefaultParagraphFont"/>
    <w:uiPriority w:val="99"/>
    <w:unhideWhenUsed/>
    <w:rsid w:val="00f564cb"/>
    <w:rPr>
      <w:color w:val="0563C1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71b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link w:val="Style15"/>
    <w:uiPriority w:val="99"/>
    <w:unhideWhenUsed/>
    <w:rsid w:val="00b279e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Header"/>
    <w:basedOn w:val="Normal"/>
    <w:link w:val="Style16"/>
    <w:uiPriority w:val="99"/>
    <w:unhideWhenUsed/>
    <w:rsid w:val="00b279e3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  <w:ind w:right="0" w:hanging="0"/>
      <w:jc w:val="left"/>
    </w:pPr>
    <w:rPr>
      <w:rFonts w:ascii="Calibri" w:hAnsi="Calibri" w:eastAsia="" w:asciiTheme="minorHAnsi" w:eastAsiaTheme="minorEastAsia" w:hAnsiTheme="minorHAnsi"/>
      <w:color w:val="auto"/>
      <w:sz w:val="22"/>
    </w:rPr>
  </w:style>
  <w:style w:type="paragraph" w:styleId="ConsPlusNormal" w:customStyle="1">
    <w:name w:val="ConsPlusNormal"/>
    <w:qFormat/>
    <w:rsid w:val="000679f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630b7"/>
    <w:pPr>
      <w:spacing w:before="0" w:after="16"/>
      <w:ind w:left="720" w:right="950" w:firstLine="70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703fdd"/>
    <w:pPr>
      <w:spacing w:lineRule="auto" w:line="240" w:beforeAutospacing="1" w:afterAutospacing="1"/>
      <w:ind w:right="0" w:hanging="0"/>
      <w:jc w:val="left"/>
    </w:pPr>
    <w:rPr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mert.tatarstan.ru/license.htm" TargetMode="External"/><Relationship Id="rId4" Type="http://schemas.openxmlformats.org/officeDocument/2006/relationships/hyperlink" Target="https://mert.tatarstan.ru/profilaktika-narusheniy-litsenzionnih-trebovaniy.htm" TargetMode="External"/><Relationship Id="rId5" Type="http://schemas.openxmlformats.org/officeDocument/2006/relationships/hyperlink" Target="https://mert.tatarstan.ru/Remote_school_of_the_licensee.htm" TargetMode="External"/><Relationship Id="rId6" Type="http://schemas.openxmlformats.org/officeDocument/2006/relationships/hyperlink" Target="https://mert.tatarstan.ru/index.htm/faq/2201.htm" TargetMode="External"/><Relationship Id="rId7" Type="http://schemas.openxmlformats.org/officeDocument/2006/relationships/hyperlink" Target="https://mert.tatarstan.ru/poleznaya-informatsiya.htm" TargetMode="External"/><Relationship Id="rId8" Type="http://schemas.openxmlformats.org/officeDocument/2006/relationships/hyperlink" Target="https://mert.tatarstan.ru/licensing/opros.htm" TargetMode="External"/><Relationship Id="rId9" Type="http://schemas.openxmlformats.org/officeDocument/2006/relationships/hyperlink" Target="https://mert.tatarstan.ru/utverzhdennie-proverochnie-listi-v-formate.htm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Application>LibreOffice/7.5.6.2$Linux_X86_64 LibreOffice_project/50$Build-2</Application>
  <AppVersion>15.0000</AppVersion>
  <Pages>8</Pages>
  <Words>1917</Words>
  <Characters>15253</Characters>
  <CharactersWithSpaces>17117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2024-01-29T10:59:00Z</dcterms:created>
  <dc:creator>Салихов Эмиль Наилевич</dc:creator>
  <dc:description/>
  <dc:language>ru-RU</dc:language>
  <cp:lastModifiedBy/>
  <cp:lastPrinted>2026-02-03T16:07:28Z</cp:lastPrinted>
  <dcterms:modified xsi:type="dcterms:W3CDTF">2026-02-03T16:33:37Z</dcterms:modified>
  <cp:revision>30</cp:revision>
  <dc:subject/>
  <dc:title>Scanned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