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</w:pPr>
      <w:r>
        <w:t xml:space="preserve">О нормативе стоимости</w:t>
      </w:r>
      <w:r/>
    </w:p>
    <w:p>
      <w:pPr>
        <w:pStyle w:val="836"/>
      </w:pPr>
      <w:r>
        <w:t xml:space="preserve">одного</w:t>
      </w:r>
      <w:r>
        <w:t xml:space="preserve"> квадратного метра общей</w:t>
      </w:r>
      <w:r/>
    </w:p>
    <w:p>
      <w:pPr>
        <w:pStyle w:val="836"/>
      </w:pPr>
      <w:r>
        <w:t xml:space="preserve">площади </w:t>
      </w:r>
      <w:r>
        <w:t xml:space="preserve">жилого помещения</w:t>
      </w:r>
      <w:r>
        <w:t xml:space="preserve"> </w:t>
      </w:r>
      <w:r/>
    </w:p>
    <w:p>
      <w:pPr>
        <w:pStyle w:val="836"/>
      </w:pPr>
      <w:r>
        <w:t xml:space="preserve">по муниципальному образованию </w:t>
      </w:r>
      <w:r/>
    </w:p>
    <w:p>
      <w:pPr>
        <w:pStyle w:val="836"/>
      </w:pPr>
      <w:r>
        <w:t xml:space="preserve">город Набережные Челны</w:t>
      </w:r>
      <w:r/>
    </w:p>
    <w:p>
      <w:pPr>
        <w:pStyle w:val="836"/>
      </w:pPr>
      <w:r/>
      <w:r/>
    </w:p>
    <w:p>
      <w:pPr>
        <w:pStyle w:val="838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соответствии с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унктом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10 Правил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предоставления молодым семьям социальных выплат на приобретение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(строительство)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жилья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и их использования (приложение №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1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к особенностям реализации отдельных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мероприятий государственной программы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Российской Федерации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«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Обеспечение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доступным и комфортным жильем и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коммунальными услугами граждан</w:t>
      </w:r>
      <w: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Российской Федерации», утвержденных постановлением Правительства Российской Федерации от 17.12.2010 № 1050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),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остановлением Кабинета Министров Р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еспублики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Т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атарстан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от 03.10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.201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9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№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888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«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Об утверждении государственной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программы Республики Татарстан «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Обеспечение качественным жильем и услугами жилищно-коммунального хозяйства населения Республики Татарстан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»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п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риказом Министерства строительства и жилищно-коммунального хозя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йст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ва Российской Федерации от 08.12.2025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№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777/пр «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 одного квадратного метра общей площади жилого помещения по субъектам Российской Федерации на </w:t>
      </w:r>
      <w:r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квартал 2026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года»,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исследованием, проведенным экспертно-консультационным советом НП «Союз оценщиков Республики Татарстан»</w:t>
      </w:r>
      <w:r>
        <w:rPr>
          <w:rFonts w:ascii="Times New Roman" w:hAnsi="Times New Roman"/>
          <w:b w:val="0"/>
          <w:i w:val="0"/>
          <w:sz w:val="24"/>
          <w:szCs w:val="24"/>
        </w:rPr>
      </w:r>
      <w:r>
        <w:rPr>
          <w:rFonts w:ascii="Times New Roman" w:hAnsi="Times New Roman"/>
          <w:b w:val="0"/>
          <w:i w:val="0"/>
          <w:sz w:val="24"/>
          <w:szCs w:val="24"/>
        </w:rPr>
      </w:r>
    </w:p>
    <w:p>
      <w:pPr>
        <w:pStyle w:val="836"/>
        <w:jc w:val="both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36"/>
        <w:jc w:val="center"/>
      </w:pPr>
      <w:r>
        <w:t xml:space="preserve">П О С Т А Н О В Л Я Ю</w:t>
      </w:r>
      <w:r>
        <w:t xml:space="preserve">:</w:t>
      </w:r>
      <w:r/>
    </w:p>
    <w:p>
      <w:pPr>
        <w:pStyle w:val="836"/>
        <w:jc w:val="center"/>
      </w:pPr>
      <w:r/>
      <w:r/>
    </w:p>
    <w:p>
      <w:pPr>
        <w:pStyle w:val="836"/>
        <w:ind w:firstLine="709"/>
        <w:jc w:val="both"/>
      </w:pPr>
      <w:r>
        <w:t xml:space="preserve">1. </w:t>
      </w:r>
      <w:r>
        <w:t xml:space="preserve">Установить норматив стоимости </w:t>
      </w:r>
      <w:r>
        <w:t xml:space="preserve">одного квадратного ме</w:t>
      </w:r>
      <w:r>
        <w:t xml:space="preserve">т</w:t>
      </w:r>
      <w:r>
        <w:t xml:space="preserve">ра</w:t>
      </w:r>
      <w:r>
        <w:t xml:space="preserve"> общей площади жил</w:t>
      </w:r>
      <w:r>
        <w:t xml:space="preserve">ого помещения</w:t>
      </w:r>
      <w:r>
        <w:t xml:space="preserve"> по муниципальному образованию город Набережные Челны </w:t>
      </w:r>
      <w:r>
        <w:t xml:space="preserve">                           </w:t>
      </w:r>
      <w:r>
        <w:t xml:space="preserve">для расчета размера социальной выплаты</w:t>
      </w:r>
      <w:r>
        <w:t xml:space="preserve"> молодым семьям на приобретение</w:t>
      </w:r>
      <w:r>
        <w:t xml:space="preserve"> </w:t>
      </w:r>
      <w:r>
        <w:t xml:space="preserve">жил</w:t>
      </w:r>
      <w:r>
        <w:t xml:space="preserve">ых помещений</w:t>
      </w:r>
      <w:r>
        <w:t xml:space="preserve"> </w:t>
      </w:r>
      <w:r>
        <w:t xml:space="preserve">на</w:t>
      </w:r>
      <w:r>
        <w:t xml:space="preserve"> </w:t>
      </w:r>
      <w:r>
        <w:t xml:space="preserve">первое</w:t>
      </w:r>
      <w:r>
        <w:t xml:space="preserve"> полугодие</w:t>
      </w:r>
      <w:r>
        <w:t xml:space="preserve"> 20</w:t>
      </w:r>
      <w:r>
        <w:t xml:space="preserve">26</w:t>
      </w:r>
      <w:r>
        <w:t xml:space="preserve"> года в размере </w:t>
      </w:r>
      <w:r>
        <w:t xml:space="preserve">126 6</w:t>
      </w:r>
      <w:r>
        <w:t xml:space="preserve">57</w:t>
      </w:r>
      <w:r>
        <w:t xml:space="preserve"> рубля</w:t>
      </w:r>
      <w:r>
        <w:t xml:space="preserve">.</w:t>
      </w:r>
      <w:r/>
    </w:p>
    <w:p>
      <w:pPr>
        <w:pStyle w:val="836"/>
        <w:ind w:firstLine="709"/>
        <w:jc w:val="both"/>
        <w:rPr>
          <w:color w:val="000000"/>
        </w:rPr>
      </w:pPr>
      <w:r>
        <w:t xml:space="preserve">2.</w:t>
      </w:r>
      <w:r>
        <w:rPr>
          <w:color w:val="000000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</w:t>
      </w:r>
      <w:r>
        <w:rPr>
          <w:color w:val="000000"/>
        </w:rPr>
        <w:t xml:space="preserve">                                   </w:t>
      </w:r>
      <w:r>
        <w:rPr>
          <w:color w:val="000000"/>
        </w:rPr>
        <w:t xml:space="preserve">на официальном портале правовой информации Республики Татарстан (</w:t>
      </w:r>
      <w:r>
        <w:fldChar w:fldCharType="begin"/>
      </w:r>
      <w:r>
        <w:instrText xml:space="preserve"> HYPERLINK "http://pravo.t</w:instrText>
      </w:r>
      <w:r>
        <w:instrText xml:space="preserve">atarstan.ru" </w:instrText>
      </w:r>
      <w:r>
        <w:fldChar w:fldCharType="separate"/>
      </w:r>
      <w:r>
        <w:rPr>
          <w:rStyle w:val="845"/>
          <w:color w:val="000000"/>
          <w:u w:val="none"/>
          <w:lang w:val="en-US"/>
        </w:rPr>
        <w:t xml:space="preserve">http</w:t>
      </w:r>
      <w:r>
        <w:rPr>
          <w:rStyle w:val="845"/>
          <w:color w:val="000000"/>
          <w:u w:val="none"/>
        </w:rPr>
        <w:t xml:space="preserve">://</w:t>
      </w:r>
      <w:r>
        <w:rPr>
          <w:rStyle w:val="845"/>
          <w:color w:val="000000"/>
          <w:u w:val="none"/>
          <w:lang w:val="en-US"/>
        </w:rPr>
        <w:t xml:space="preserve">pravo</w:t>
      </w:r>
      <w:r>
        <w:rPr>
          <w:rStyle w:val="845"/>
          <w:color w:val="000000"/>
          <w:u w:val="none"/>
        </w:rPr>
        <w:t xml:space="preserve">.</w:t>
      </w:r>
      <w:r>
        <w:rPr>
          <w:rStyle w:val="845"/>
          <w:color w:val="000000"/>
          <w:u w:val="none"/>
          <w:lang w:val="en-US"/>
        </w:rPr>
        <w:t xml:space="preserve">tatarstan</w:t>
      </w:r>
      <w:r>
        <w:rPr>
          <w:rStyle w:val="845"/>
          <w:color w:val="000000"/>
          <w:u w:val="none"/>
        </w:rPr>
        <w:t xml:space="preserve">.</w:t>
      </w:r>
      <w:r>
        <w:rPr>
          <w:rStyle w:val="845"/>
          <w:color w:val="000000"/>
          <w:u w:val="none"/>
          <w:lang w:val="en-US"/>
        </w:rPr>
        <w:t xml:space="preserve">ru</w:t>
      </w:r>
      <w:r>
        <w:rPr>
          <w:rStyle w:val="845"/>
          <w:color w:val="000000"/>
          <w:u w:val="none"/>
          <w:lang w:val="en-US"/>
        </w:rPr>
        <w:fldChar w:fldCharType="end"/>
      </w:r>
      <w:r>
        <w:rPr>
          <w:color w:val="000000"/>
        </w:rPr>
        <w:t xml:space="preserve">), на официальном сайте города Набережные Челны </w:t>
      </w:r>
      <w:r>
        <w:rPr>
          <w:color w:val="000000"/>
        </w:rPr>
        <w:t xml:space="preserve">                               </w:t>
      </w:r>
      <w:r>
        <w:rPr>
          <w:color w:val="000000"/>
        </w:rPr>
        <w:t xml:space="preserve">в сети «Интернет».</w:t>
      </w:r>
      <w:r>
        <w:rPr>
          <w:color w:val="000000"/>
        </w:rPr>
      </w:r>
      <w:r>
        <w:rPr>
          <w:color w:val="000000"/>
        </w:rPr>
      </w:r>
    </w:p>
    <w:p>
      <w:pPr>
        <w:pStyle w:val="836"/>
        <w:ind w:firstLine="709"/>
        <w:jc w:val="both"/>
      </w:pPr>
      <w:r>
        <w:t xml:space="preserve">3.</w:t>
      </w:r>
      <w:r>
        <w:t xml:space="preserve">Контроль за исполнением настоящего постановления возложить на</w:t>
      </w:r>
      <w:r>
        <w:t xml:space="preserve">                               </w:t>
      </w:r>
      <w:r>
        <w:t xml:space="preserve"> </w:t>
      </w:r>
      <w:r>
        <w:t xml:space="preserve">заместителя Руководителя Исполнительного комитета </w:t>
      </w:r>
      <w:r>
        <w:t xml:space="preserve">Фаттахова М.А.</w:t>
      </w:r>
      <w:r/>
    </w:p>
    <w:p>
      <w:pPr>
        <w:pStyle w:val="836"/>
      </w:pPr>
      <w:r/>
      <w:r/>
    </w:p>
    <w:p>
      <w:pPr>
        <w:pStyle w:val="836"/>
      </w:pPr>
      <w:r>
        <w:t xml:space="preserve">Р</w:t>
      </w:r>
      <w:r>
        <w:t xml:space="preserve">уководитель</w:t>
      </w:r>
      <w:r/>
    </w:p>
    <w:p>
      <w:pPr>
        <w:pStyle w:val="836"/>
      </w:pPr>
      <w:r>
        <w:t xml:space="preserve">Исполнительного комитета                                                                      </w:t>
      </w:r>
      <w:r>
        <w:t xml:space="preserve">  </w:t>
      </w:r>
      <w:r>
        <w:t xml:space="preserve">     </w:t>
      </w:r>
      <w:r>
        <w:t xml:space="preserve">    </w:t>
      </w:r>
      <w:r>
        <w:t xml:space="preserve"> </w:t>
      </w:r>
      <w:r>
        <w:t xml:space="preserve">Ф.Ш</w:t>
      </w:r>
      <w:r>
        <w:t xml:space="preserve">. </w:t>
      </w:r>
      <w:r>
        <w:t xml:space="preserve">Салахов</w:t>
      </w:r>
      <w:r>
        <w:t xml:space="preserve">                                            </w:t>
      </w:r>
      <w:r/>
    </w:p>
    <w:p>
      <w:pPr>
        <w:pStyle w:val="836"/>
      </w:pPr>
      <w:r/>
      <w:r/>
    </w:p>
    <w:p>
      <w:pPr>
        <w:pStyle w:val="836"/>
      </w:pPr>
      <w:r>
        <w:t xml:space="preserve">                                                                                      </w:t>
      </w:r>
      <w:r/>
    </w:p>
    <w:p>
      <w:r>
        <w:t xml:space="preserve">                                                                                      </w:t>
      </w:r>
      <w:r>
        <w:t xml:space="preserve">Согласовано:</w:t>
      </w:r>
      <w:r/>
    </w:p>
    <w:p>
      <w:pPr>
        <w:pStyle w:val="836"/>
      </w:pPr>
      <w:r/>
      <w:r/>
    </w:p>
    <w:p>
      <w:pPr>
        <w:pStyle w:val="836"/>
        <w:jc w:val="center"/>
      </w:pPr>
      <w:r>
        <w:t xml:space="preserve">                                                                              </w:t>
      </w:r>
      <w:r>
        <w:t xml:space="preserve">Галиева Н.И</w:t>
      </w:r>
      <w:r>
        <w:t xml:space="preserve">.  __________________</w:t>
      </w:r>
      <w:r/>
    </w:p>
    <w:p>
      <w:pPr>
        <w:pStyle w:val="836"/>
      </w:pPr>
      <w:r>
        <w:t xml:space="preserve"> </w:t>
      </w:r>
      <w:r/>
    </w:p>
    <w:p>
      <w:pPr>
        <w:pStyle w:val="836"/>
        <w:jc w:val="center"/>
      </w:pPr>
      <w:r>
        <w:t xml:space="preserve">                                                                                    </w:t>
      </w:r>
      <w:r>
        <w:t xml:space="preserve">Дерлюкова Е</w:t>
      </w:r>
      <w:r>
        <w:t xml:space="preserve">.В</w:t>
      </w:r>
      <w:r>
        <w:t xml:space="preserve">. __________________                                                                           </w:t>
      </w:r>
      <w:r/>
    </w:p>
    <w:p>
      <w:pPr>
        <w:pStyle w:val="836"/>
      </w:pPr>
      <w:r/>
      <w:r/>
    </w:p>
    <w:p>
      <w:pPr>
        <w:pStyle w:val="836"/>
        <w:jc w:val="center"/>
      </w:pPr>
      <w:r>
        <w:t xml:space="preserve">                                                                                       Минигареева Ю.М._________________                                                                                             </w:t>
      </w:r>
      <w:r/>
    </w:p>
    <w:p>
      <w:pPr>
        <w:pStyle w:val="836"/>
        <w:jc w:val="both"/>
      </w:pPr>
      <w:r>
        <w:t xml:space="preserve">           </w:t>
      </w:r>
      <w:r>
        <w:t xml:space="preserve">                                                                             </w:t>
      </w:r>
      <w:r/>
    </w:p>
    <w:p>
      <w:pPr>
        <w:pStyle w:val="836"/>
        <w:jc w:val="both"/>
      </w:pPr>
      <w:r>
        <w:t xml:space="preserve">                                                                                        Прокуратура ______________________</w:t>
      </w:r>
      <w:r/>
    </w:p>
    <w:p>
      <w:pPr>
        <w:pStyle w:val="836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Жукова Ф.З. 305653                                                                                               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 Light">
    <w:panose1 w:val="020F030202020403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sz w:val="24"/>
      <w:szCs w:val="24"/>
      <w:lang w:val="ru-RU" w:eastAsia="ru-RU" w:bidi="ar-SA"/>
    </w:rPr>
  </w:style>
  <w:style w:type="paragraph" w:styleId="837">
    <w:name w:val="Заголовок 1"/>
    <w:basedOn w:val="836"/>
    <w:next w:val="836"/>
    <w:link w:val="836"/>
    <w:qFormat/>
    <w:pPr>
      <w:jc w:val="right"/>
      <w:keepNext/>
      <w:outlineLvl w:val="0"/>
    </w:pPr>
    <w:rPr>
      <w:b/>
      <w:szCs w:val="28"/>
    </w:rPr>
  </w:style>
  <w:style w:type="paragraph" w:styleId="838">
    <w:name w:val="Заголовок 2"/>
    <w:basedOn w:val="836"/>
    <w:next w:val="836"/>
    <w:link w:val="844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839">
    <w:name w:val="Основной шрифт абзаца"/>
    <w:next w:val="839"/>
    <w:link w:val="836"/>
    <w:semiHidden/>
  </w:style>
  <w:style w:type="table" w:styleId="840">
    <w:name w:val="Обычная таблица"/>
    <w:next w:val="840"/>
    <w:link w:val="836"/>
    <w:semiHidden/>
    <w:tblPr/>
  </w:style>
  <w:style w:type="numbering" w:styleId="841">
    <w:name w:val="Нет списка"/>
    <w:next w:val="841"/>
    <w:link w:val="836"/>
    <w:semiHidden/>
  </w:style>
  <w:style w:type="paragraph" w:styleId="842">
    <w:name w:val="Текст выноски"/>
    <w:basedOn w:val="836"/>
    <w:next w:val="842"/>
    <w:link w:val="843"/>
    <w:rPr>
      <w:rFonts w:ascii="Tahoma" w:hAnsi="Tahoma" w:cs="Tahoma"/>
      <w:sz w:val="16"/>
      <w:szCs w:val="16"/>
    </w:rPr>
  </w:style>
  <w:style w:type="character" w:styleId="843">
    <w:name w:val="Текст выноски Знак"/>
    <w:next w:val="843"/>
    <w:link w:val="842"/>
    <w:rPr>
      <w:rFonts w:ascii="Tahoma" w:hAnsi="Tahoma" w:cs="Tahoma"/>
      <w:sz w:val="16"/>
      <w:szCs w:val="16"/>
    </w:rPr>
  </w:style>
  <w:style w:type="character" w:styleId="844">
    <w:name w:val="Заголовок 2 Знак"/>
    <w:next w:val="844"/>
    <w:link w:val="838"/>
    <w:rPr>
      <w:rFonts w:ascii="Calibri Light" w:hAnsi="Calibri Light"/>
      <w:b/>
      <w:bCs/>
      <w:i/>
      <w:iCs/>
      <w:sz w:val="28"/>
      <w:szCs w:val="28"/>
    </w:rPr>
  </w:style>
  <w:style w:type="character" w:styleId="845">
    <w:name w:val="Гиперссылка"/>
    <w:next w:val="845"/>
    <w:link w:val="836"/>
    <w:uiPriority w:val="99"/>
    <w:unhideWhenUsed/>
    <w:rPr>
      <w:color w:val="0563c1"/>
      <w:u w:val="single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ОМС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Эльмира</dc:creator>
  <cp:revision>6</cp:revision>
  <dcterms:created xsi:type="dcterms:W3CDTF">2024-04-12T07:02:00Z</dcterms:created>
  <dcterms:modified xsi:type="dcterms:W3CDTF">2026-02-09T06:46:16Z</dcterms:modified>
  <cp:version>1048576</cp:version>
</cp:coreProperties>
</file>