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left="-567" w:hanging="0"/>
        <w:jc w:val="right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ПРОЕКТ</w:t>
      </w:r>
    </w:p>
    <w:p>
      <w:pPr>
        <w:pStyle w:val="Normal"/>
        <w:spacing w:lineRule="auto" w:line="240" w:before="0" w:after="0"/>
        <w:ind w:left="-567" w:hanging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О внесении изменений в Постановление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Исполнительного комитета от 29.10.2025 № 8855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«Об утверждении муниципальной программы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молодежной политики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муниципальном образовании город Набережные Челны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>на 2026-2028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tLeast" w:line="221" w:before="0" w:after="0"/>
        <w:ind w:firstLine="709"/>
        <w:jc w:val="both"/>
        <w:rPr>
          <w:rFonts w:ascii="Times New Roman" w:hAnsi="Times New Roman" w:eastAsia="Times New Roman"/>
          <w:sz w:val="24"/>
          <w:szCs w:val="24"/>
          <w:lang w:eastAsia="zh-CN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 xml:space="preserve"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19/8, постановлением Исполнительного комитета от 11.09.2017 № 5326 </w:t>
      </w:r>
      <w:r>
        <w:rPr>
          <w:rFonts w:eastAsia="Times New Roman" w:ascii="Times New Roman" w:hAnsi="Times New Roman"/>
          <w:bCs/>
          <w:sz w:val="24"/>
          <w:szCs w:val="24"/>
          <w:lang w:eastAsia="zh-CN"/>
        </w:rPr>
        <w:t>«Об утверждении порядка разработки, реализации и оценки эффективности муниципальных программ»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 О С Т А Н О В Л Я Ю: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zh-CN"/>
        </w:rPr>
        <w:t>Внести в постановление Исполнительного комитета от 29.10.2025 № 8855 «Об утверждении муниципальной программы «</w:t>
      </w:r>
      <w:r>
        <w:rPr>
          <w:rFonts w:ascii="Times New Roman" w:hAnsi="Times New Roman"/>
          <w:sz w:val="24"/>
          <w:szCs w:val="24"/>
        </w:rPr>
        <w:t>Развитие молодежной политики в муниципальном образовании город Набережные Челны на 2026-2028 годы</w:t>
      </w:r>
      <w:r>
        <w:rPr>
          <w:rFonts w:eastAsia="Times New Roman" w:ascii="Times New Roman" w:hAnsi="Times New Roman"/>
          <w:sz w:val="24"/>
          <w:szCs w:val="24"/>
          <w:lang w:eastAsia="zh-CN"/>
        </w:rPr>
        <w:t>»  следующие изменения: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пункт 2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 Управлению финансов Исполнительного комитета обеспечить финансирование мероприятий, предусмотренных муниципальной программой «Развитие молодежной политики в муниципальном образовании город Набережные Челны на 2026-2028 годы», за счет средств, предусмотренных в бюджете муниципального образования город Набережные Челны, по разделу (подразделу) 07.07 «Молодежная</w:t>
      </w:r>
      <w:r>
        <w:rPr>
          <w:rFonts w:ascii="Times New Roman" w:hAnsi="Times New Roman"/>
          <w:color w:val="000000"/>
          <w:sz w:val="24"/>
          <w:szCs w:val="24"/>
        </w:rPr>
        <w:t xml:space="preserve"> политика» в сумме: на 2026 –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269 973,15</w:t>
      </w:r>
      <w:r>
        <w:rPr>
          <w:rFonts w:ascii="Times New Roman" w:hAnsi="Times New Roman"/>
          <w:color w:val="000000"/>
          <w:sz w:val="24"/>
          <w:szCs w:val="24"/>
        </w:rPr>
        <w:t xml:space="preserve"> тысяч рублей, на 2027 – 292 316,02 тысяч рублей, на 2028 – 319 392,38 т</w:t>
      </w:r>
      <w:r>
        <w:rPr>
          <w:rFonts w:ascii="Times New Roman" w:hAnsi="Times New Roman"/>
          <w:sz w:val="24"/>
          <w:szCs w:val="24"/>
        </w:rPr>
        <w:t>ысяч рублей.»;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муниципальной программе «Развитие молодежной политики в муниципальном образовании город Набережные Челны на 2026-2028 годы»: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главе 1 строку «Объемы и источники финансирования Программы с разбивкой по годам» изложить в следующей редакции:</w:t>
      </w:r>
    </w:p>
    <w:tbl>
      <w:tblPr>
        <w:tblW w:w="1020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2677"/>
        <w:gridCol w:w="1997"/>
        <w:gridCol w:w="1422"/>
        <w:gridCol w:w="1411"/>
        <w:gridCol w:w="1418"/>
        <w:gridCol w:w="1275"/>
      </w:tblGrid>
      <w:tr>
        <w:trPr/>
        <w:tc>
          <w:tcPr>
            <w:tcW w:w="2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«Объемы и источники финансирования Программы с разбивкой по годам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Источники финансирования</w:t>
            </w:r>
          </w:p>
        </w:tc>
        <w:tc>
          <w:tcPr>
            <w:tcW w:w="55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Годы реализации Программы</w:t>
            </w:r>
          </w:p>
        </w:tc>
      </w:tr>
      <w:tr>
        <w:trPr/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1-й год/ тыс.руб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2-й год/ тыс.руб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3-й год/ тыс.руб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Всего тыс.руб</w:t>
            </w:r>
          </w:p>
        </w:tc>
      </w:tr>
      <w:tr>
        <w:trPr>
          <w:trHeight w:val="607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Муниципальный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269 973,15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57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292 316,02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tabs>
                <w:tab w:val="clear" w:pos="708"/>
                <w:tab w:val="left" w:pos="993" w:leader="none"/>
              </w:tabs>
              <w:suppressAutoHyphens w:val="true"/>
              <w:bidi w:val="0"/>
              <w:spacing w:lineRule="auto" w:line="240" w:before="0" w:after="0"/>
              <w:ind w:left="113" w:right="0" w:hanging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 w:eastAsia="ru-RU"/>
              </w:rPr>
              <w:t>319 392,38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ind w:left="113" w:hanging="113"/>
              <w:jc w:val="center"/>
              <w:rPr>
                <w:color w:val="000000"/>
              </w:rPr>
            </w:pPr>
            <w:r>
              <w:rPr>
                <w:color w:val="000000"/>
                <w:spacing w:val="-8"/>
                <w:lang w:val="ru-RU" w:eastAsia="ru-RU"/>
              </w:rPr>
              <w:t>881 681,55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Республиканский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673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rPr>
                <w:lang w:val="ru-RU" w:eastAsia="ru-RU"/>
              </w:rPr>
            </w:pPr>
            <w:r>
              <w:rPr>
                <w:lang w:val="ru-RU" w:eastAsia="ru-RU"/>
              </w:rPr>
              <w:t>Федеральный бюджет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7"/>
              <w:widowControl w:val="false"/>
              <w:jc w:val="center"/>
              <w:rPr>
                <w:spacing w:val="-8"/>
                <w:lang w:val="ru-RU" w:eastAsia="ru-RU"/>
              </w:rPr>
            </w:pPr>
            <w:r>
              <w:rPr>
                <w:spacing w:val="-8"/>
                <w:lang w:val="ru-RU" w:eastAsia="ru-RU"/>
              </w:rPr>
              <w:t>-</w:t>
            </w:r>
          </w:p>
        </w:tc>
      </w:tr>
      <w:tr>
        <w:trPr>
          <w:trHeight w:val="305" w:hRule="atLeast"/>
        </w:trPr>
        <w:tc>
          <w:tcPr>
            <w:tcW w:w="26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5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7"/>
              <w:widowControl w:val="false"/>
              <w:jc w:val="both"/>
              <w:rPr/>
            </w:pPr>
            <w:r>
              <w:rPr/>
              <w:t>Размер расходуемых средств на реализацию программы может уточняться и корректироваться исходя из возможностей городского бюджета, инфляционных процессов и экономической ситуации на территории муниципального образования город Набережные Челны»;</w:t>
            </w:r>
          </w:p>
        </w:tc>
      </w:tr>
    </w:tbl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5 изложить в следующей редакции: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17"/>
        <w:widowControl/>
        <w:jc w:val="center"/>
        <w:rPr>
          <w:lang w:val="ru-RU"/>
        </w:rPr>
      </w:pPr>
      <w:r>
        <w:rPr>
          <w:lang w:val="ru-RU"/>
        </w:rPr>
        <w:t>«</w:t>
      </w:r>
      <w:r>
        <w:rPr/>
        <w:t xml:space="preserve">Глава 5. </w:t>
      </w:r>
      <w:r>
        <w:rPr>
          <w:lang w:val="ru-RU"/>
        </w:rPr>
        <w:t xml:space="preserve">Ресурсное обеспечение </w:t>
      </w:r>
      <w:r>
        <w:rPr/>
        <w:t>Программы</w:t>
      </w:r>
    </w:p>
    <w:p>
      <w:pPr>
        <w:pStyle w:val="Style17"/>
        <w:widowControl/>
        <w:jc w:val="both"/>
        <w:rPr/>
      </w:pPr>
      <w:r>
        <w:rPr/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Объем финансирования Программы на 2026-2028 годы составляет 881 681</w:t>
      </w:r>
      <w:r>
        <w:rPr>
          <w:color w:val="000000"/>
          <w:spacing w:val="-8"/>
          <w:shd w:fill="auto" w:val="clear"/>
          <w:lang w:val="ru-RU" w:eastAsia="ru-RU"/>
        </w:rPr>
        <w:t>,55</w:t>
      </w:r>
      <w:r>
        <w:rPr>
          <w:color w:val="000000"/>
          <w:shd w:fill="auto" w:val="clear"/>
          <w:lang w:val="ru-RU"/>
        </w:rPr>
        <w:t xml:space="preserve"> </w:t>
      </w:r>
      <w:r>
        <w:rPr>
          <w:shd w:fill="auto" w:val="clear"/>
          <w:lang w:val="ru-RU"/>
        </w:rPr>
        <w:t xml:space="preserve"> тысяч рублей. </w:t>
      </w:r>
    </w:p>
    <w:p>
      <w:pPr>
        <w:pStyle w:val="Style17"/>
        <w:widowControl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  <w:lang w:val="ru-RU"/>
        </w:rPr>
        <w:t>Источником финансирования Программы является бюджет муниципального образования город Набережные Челны.</w:t>
      </w:r>
    </w:p>
    <w:p>
      <w:pPr>
        <w:pStyle w:val="Style17"/>
        <w:widowControl/>
        <w:ind w:firstLine="708"/>
        <w:jc w:val="both"/>
        <w:rPr>
          <w:highlight w:val="none"/>
          <w:shd w:fill="auto" w:val="clear"/>
        </w:rPr>
      </w:pPr>
      <w:r>
        <w:rPr>
          <w:shd w:fill="auto" w:val="clear"/>
          <w:lang w:val="ru-RU"/>
        </w:rPr>
        <w:t>Всего за период 2026-2028 годы – 881 681</w:t>
      </w:r>
      <w:r>
        <w:rPr>
          <w:color w:val="000000"/>
          <w:spacing w:val="-8"/>
          <w:shd w:fill="auto" w:val="clear"/>
          <w:lang w:val="ru-RU" w:eastAsia="ru-RU"/>
        </w:rPr>
        <w:t>,55</w:t>
      </w:r>
      <w:r>
        <w:rPr>
          <w:shd w:fill="auto" w:val="clear"/>
          <w:lang w:val="ru-RU"/>
        </w:rPr>
        <w:t xml:space="preserve"> тысяч рублей, в том числе по годам реализации Программы: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 xml:space="preserve">2026 год – </w:t>
      </w:r>
      <w:r>
        <w:rPr>
          <w:color w:val="000000"/>
          <w:sz w:val="24"/>
          <w:szCs w:val="24"/>
          <w:lang w:val="ru-RU" w:eastAsia="ru-RU"/>
        </w:rPr>
        <w:t>269 973,15</w:t>
      </w:r>
      <w:r>
        <w:rPr>
          <w:lang w:val="ru-RU"/>
        </w:rPr>
        <w:t xml:space="preserve"> тысяч рублей, 2027 год – </w:t>
      </w:r>
      <w:r>
        <w:rPr>
          <w:color w:val="000000"/>
          <w:sz w:val="24"/>
          <w:szCs w:val="24"/>
          <w:lang w:val="ru-RU" w:eastAsia="ru-RU"/>
        </w:rPr>
        <w:t>292 316,02</w:t>
      </w:r>
      <w:r>
        <w:rPr>
          <w:lang w:val="ru-RU"/>
        </w:rPr>
        <w:t xml:space="preserve"> тысяч рублей, 2028 год – </w:t>
      </w:r>
      <w:r>
        <w:rPr>
          <w:color w:val="000000"/>
          <w:sz w:val="24"/>
          <w:szCs w:val="24"/>
          <w:lang w:val="ru-RU" w:eastAsia="ru-RU"/>
        </w:rPr>
        <w:t>319 392,38</w:t>
      </w:r>
      <w:r>
        <w:rPr>
          <w:lang w:val="ru-RU"/>
        </w:rPr>
        <w:t xml:space="preserve"> тысяч рублей.</w:t>
      </w:r>
    </w:p>
    <w:p>
      <w:pPr>
        <w:pStyle w:val="Style17"/>
        <w:widowControl/>
        <w:ind w:firstLine="708"/>
        <w:jc w:val="both"/>
        <w:rPr>
          <w:lang w:val="ru-RU"/>
        </w:rPr>
      </w:pPr>
      <w:r>
        <w:rPr>
          <w:lang w:val="ru-RU"/>
        </w:rPr>
        <w:t>Объемы финансирования носят прогнозный характер и подлежат уточнению при формировании проекта бюджета города Набережные Челны на текущий финансовый год и на плановый период.»;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главу 9 изложить в новой редакции согласно приложению.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Управлению делопроизводством Исполнительного комитета обеспечить официальное опубликованное настоящего постановления и размещение его на официальном портале правовой информации Республики Татарстан (</w:t>
      </w:r>
      <w:r>
        <w:rPr>
          <w:rFonts w:ascii="Times New Roman" w:hAnsi="Times New Roman"/>
          <w:sz w:val="24"/>
          <w:szCs w:val="24"/>
          <w:lang w:val="en-US"/>
        </w:rPr>
        <w:t>pravo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tatarstan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>
        <w:rPr>
          <w:rFonts w:ascii="Times New Roman" w:hAnsi="Times New Roman"/>
          <w:sz w:val="24"/>
          <w:szCs w:val="24"/>
        </w:rPr>
        <w:t>), на официальном сайте города Набережные Челны в сети «Интернет».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за исполнением настоящего постановления возложить на заместителя Руководителя Исполнительного комитета Харисова В.Х., заместителя Руководителя Исполнительного комитета, начальника управления финансов Мулюкову С.Р.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</w:t>
      </w:r>
    </w:p>
    <w:p>
      <w:pPr>
        <w:sectPr>
          <w:headerReference w:type="even" r:id="rId2"/>
          <w:headerReference w:type="default" r:id="rId3"/>
          <w:footerReference w:type="even" r:id="rId4"/>
          <w:footerReference w:type="default" r:id="rId5"/>
          <w:type w:val="nextPage"/>
          <w:pgSz w:w="11906" w:h="16838"/>
          <w:pgMar w:left="1134" w:right="567" w:gutter="0" w:header="709" w:top="1135" w:footer="709" w:bottom="992"/>
          <w:pgNumType w:start="1" w:fmt="decimal"/>
          <w:formProt w:val="false"/>
          <w:titlePg/>
          <w:textDirection w:val="lrTb"/>
          <w:docGrid w:type="default" w:linePitch="360" w:charSpace="0"/>
        </w:sect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Исполнительного комитета</w:t>
        <w:tab/>
        <w:tab/>
        <w:tab/>
        <w:tab/>
        <w:tab/>
        <w:tab/>
        <w:tab/>
        <w:tab/>
        <w:tab/>
        <w:t>Ф.Ш. Салахов</w:t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12416" w:hanging="12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/>
      </w:pPr>
      <w:r>
        <w:rPr>
          <w:rFonts w:ascii="Times New Roman" w:hAnsi="Times New Roman"/>
          <w:sz w:val="26"/>
          <w:szCs w:val="26"/>
        </w:rPr>
        <w:t>Глава 9. Цели, задачи, индикаторы оценки результатов и финансирование по мероприятиям муниципальной программы «Развитие молодежной политики в муниципальном образовании город Набережные Челны на 2026-2028 годы»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tbl>
      <w:tblPr>
        <w:tblW w:w="15739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2834"/>
        <w:gridCol w:w="1977"/>
        <w:gridCol w:w="2271"/>
        <w:gridCol w:w="8"/>
        <w:gridCol w:w="1986"/>
        <w:gridCol w:w="793"/>
        <w:gridCol w:w="768"/>
        <w:gridCol w:w="850"/>
        <w:gridCol w:w="853"/>
        <w:gridCol w:w="1142"/>
        <w:gridCol w:w="1131"/>
        <w:gridCol w:w="1124"/>
      </w:tblGrid>
      <w:tr>
        <w:trPr/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задачи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основных мероприятий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Индикаторы оценки конечных результатов, единицы измерения</w:t>
            </w:r>
          </w:p>
        </w:tc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Значения индикаторов</w:t>
            </w:r>
          </w:p>
        </w:tc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Финансирование с указанием источника финансирования,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тысяч рублей</w:t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базовый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  <w:tr>
        <w:trPr/>
        <w:tc>
          <w:tcPr>
            <w:tcW w:w="12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цели: Реализация молодежной политики и обеспечение оптимальных условий для повышения качества жизни молодого поколения</w:t>
            </w:r>
          </w:p>
        </w:tc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бюджет</w:t>
            </w:r>
          </w:p>
        </w:tc>
      </w:tr>
      <w:tr>
        <w:trPr/>
        <w:tc>
          <w:tcPr>
            <w:tcW w:w="9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Удельный вес молодежи в возрасте от 14 до 35 лет, охваченной мероприятиями муниципальной молодежной программы на 2026-2028 гг, %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51,36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265 173,15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288 029,82</w:t>
            </w:r>
          </w:p>
        </w:tc>
        <w:tc>
          <w:tcPr>
            <w:tcW w:w="1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315 106,18</w:t>
            </w:r>
          </w:p>
        </w:tc>
      </w:tr>
      <w:tr>
        <w:trPr/>
        <w:tc>
          <w:tcPr>
            <w:tcW w:w="90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специалистов, работающих с молодежью, принявших участие в проектах и мероприятиях программы или получивших поддержку в рамках межведомственного взаимодействия, чел.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Организация досуга детей, подростков и молодежи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Реализация программ, проектов для молодежи</w:t>
            </w:r>
          </w:p>
        </w:tc>
        <w:tc>
          <w:tcPr>
            <w:tcW w:w="2271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  <w:t>Количество программ, проектов, единиц</w:t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9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кружков и секции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кружков и секций,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2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6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3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9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kern w:val="0"/>
                <w:sz w:val="24"/>
                <w:szCs w:val="24"/>
                <w:lang w:val="ru-RU" w:eastAsia="en-US" w:bidi="ar-SA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83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деятельности и поддержка молодежных общественных объединений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общественных объединений,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7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1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занимающихся,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Иная досуговая деятельность учреждений молодежной политики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10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80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21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3500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7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4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культурно-досуговых, спортивно-массовых мероприятий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культурно-досуговых, спортивно-массовых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6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3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3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8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70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14000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мероприятий по профилактике асоциального и деструктивного поведения в молодежной среде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28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9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0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информационной и психологической помощи, в том числе по телефону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индивидуальных и групповых консультаций, методических консультаций, консультаций по телефону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консультаций,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«ЦПППДИМ «Диалог»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9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8000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8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обработанных вызовов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«ЦЭППТДМ «МТД»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8500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формирование системы развития талантливой и инициативной молодежи, создание условий для самореализации подростков и молодежи, развитие творческого, профессионального, интеллектуального потенциала подростков и молодежи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формирование и развитие системы поддержки талантливой и инициативной молодежи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информационно-аналитических материалов,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7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1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8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62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отчетов, составленных по результатам работы,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38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11" w:hRule="atLeast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гражданское и патриотическое воспитание молодежи, воспитание толерантности в молодежной среде, формирование правовых, культурных и нравственных ценностей среди молодежи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гражданское и патриотическое воспитание молодежи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5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0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6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22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собранной и обработанной статистической информации,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42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116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58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проведенных мониторингов,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6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33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МБУ «Центр М(С)ФООП «Форпост»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55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«ЦМ(П)К по месту жительства «Подросток»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962" w:hRule="atLeast"/>
        </w:trPr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мероприятий в сфере молодежной политики, направленных на вовлечение молодежи в инновационную, предпринимательскую, добровольческую деятельность, а также на развитие гражданской активности молодежи и формирование здорового образа жизни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мероприятий, направленных на развитие добровольческой деятельности, социально-значимых инициатив</w:t>
            </w:r>
          </w:p>
        </w:tc>
        <w:tc>
          <w:tcPr>
            <w:tcW w:w="22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«Заман»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15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«Нур»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890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«Орион»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602" w:hRule="atLeast"/>
        </w:trPr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«МЦ «Шатлык»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678" w:hRule="atLeast"/>
        </w:trPr>
        <w:tc>
          <w:tcPr>
            <w:tcW w:w="28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временного трудоустройства</w:t>
            </w:r>
          </w:p>
        </w:tc>
        <w:tc>
          <w:tcPr>
            <w:tcW w:w="19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занятости подростков и молодежи путем организации временного трудоустройства в свободное от учебы время и период летних каникул</w:t>
            </w:r>
          </w:p>
        </w:tc>
        <w:tc>
          <w:tcPr>
            <w:tcW w:w="227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получивших услугу по временному трудоустройству, человек</w:t>
            </w:r>
          </w:p>
        </w:tc>
        <w:tc>
          <w:tcPr>
            <w:tcW w:w="1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 «НЦСТО»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2405</w:t>
            </w:r>
          </w:p>
        </w:tc>
        <w:tc>
          <w:tcPr>
            <w:tcW w:w="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1250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>
          <w:trHeight w:val="1515" w:hRule="atLeast"/>
        </w:trPr>
        <w:tc>
          <w:tcPr>
            <w:tcW w:w="28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Численность граждан, приступивших к временным работам, человек</w:t>
            </w:r>
          </w:p>
        </w:tc>
        <w:tc>
          <w:tcPr>
            <w:tcW w:w="198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1000</w:t>
            </w:r>
          </w:p>
        </w:tc>
        <w:tc>
          <w:tcPr>
            <w:tcW w:w="114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3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12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Поддержка и развитие кадрового резерва активистов государственной молодежной политики в городе Набережные Челны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активистов молодежной политики именными стипендиями Мэра города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и активистов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480,0</w:t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Вручение премии Мэра города лучшим работникам в сфере молодежной политики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лидеров в сфере молодежной политики, получивших адресную поддержку, человек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260,4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260,4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260,4</w:t>
            </w:r>
          </w:p>
        </w:tc>
      </w:tr>
      <w:tr>
        <w:trPr/>
        <w:tc>
          <w:tcPr>
            <w:tcW w:w="283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городских мероприятий, конкурсов, фестивалей, участие в республиканских и всероссийских конкурсах и мероприятиях</w:t>
            </w:r>
          </w:p>
        </w:tc>
        <w:tc>
          <w:tcPr>
            <w:tcW w:w="2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мероприятий, единиц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по делам молодежи Исполнительного комитета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4 059,60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3 545,8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3 545,8</w:t>
            </w:r>
          </w:p>
        </w:tc>
      </w:tr>
      <w:tr>
        <w:trPr/>
        <w:tc>
          <w:tcPr>
            <w:tcW w:w="1234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269 973,15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292 316, 02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57" w:right="113" w:hanging="0"/>
              <w:jc w:val="center"/>
              <w:rPr>
                <w:sz w:val="24"/>
                <w:szCs w:val="24"/>
              </w:rPr>
            </w:pPr>
            <w:bookmarkStart w:id="0" w:name="_GoBack"/>
            <w:r>
              <w:rPr>
                <w:rFonts w:eastAsia="Calibri" w:cs="Times New Roman" w:ascii="Times New Roman" w:hAnsi="Times New Roman"/>
                <w:sz w:val="24"/>
                <w:szCs w:val="24"/>
                <w:lang w:eastAsia="zh-CN"/>
              </w:rPr>
              <w:t>319 392,38</w:t>
            </w:r>
            <w:bookmarkEnd w:id="0"/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12416" w:hanging="12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ListParagraph"/>
        <w:tabs>
          <w:tab w:val="clear" w:pos="708"/>
          <w:tab w:val="left" w:pos="993" w:leader="none"/>
        </w:tabs>
        <w:spacing w:lineRule="auto" w:line="240" w:before="0" w:after="0"/>
        <w:ind w:left="12416" w:hanging="124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Руководителя Аппарата,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управления делопроизводством</w:t>
      </w:r>
    </w:p>
    <w:p>
      <w:pPr>
        <w:pStyle w:val="Normal"/>
        <w:spacing w:lineRule="auto" w:line="240" w:before="0" w:after="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</w:t>
        <w:tab/>
        <w:tab/>
        <w:tab/>
        <w:t xml:space="preserve">   </w:t>
        <w:tab/>
        <w:tab/>
        <w:tab/>
        <w:tab/>
        <w:tab/>
        <w:tab/>
        <w:tab/>
        <w:tab/>
        <w:tab/>
        <w:tab/>
        <w:tab/>
        <w:t xml:space="preserve">   Н.И. Галиева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orient="landscape" w:w="16838" w:h="11906"/>
      <w:pgMar w:left="1134" w:right="1134" w:gutter="0" w:header="170" w:top="709" w:footer="17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7" name="Врезка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3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6" path="m0,0l-2147483645,0l-2147483645,-2147483646l0,-2147483646xe" stroked="f" o:allowincell="f" style="position:absolute;margin-left:0pt;margin-top:0.05pt;width:1.1pt;height:1.1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3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51435" cy="115570"/>
              <wp:effectExtent l="0" t="0" r="0" b="0"/>
              <wp:wrapSquare wrapText="bothSides"/>
              <wp:docPr id="2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48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253.05pt;margin-top:0.05pt;width:4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Врезка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4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5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4"/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02235" cy="115570"/>
              <wp:effectExtent l="0" t="0" r="0" b="0"/>
              <wp:wrapSquare wrapText="bothSides"/>
              <wp:docPr id="6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240" cy="115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4"/>
                            <w:rPr>
                              <w:rStyle w:val="Pagenumber"/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t>11</w:t>
                          </w:r>
                          <w:r>
                            <w:rPr>
                              <w:rStyle w:val="Pagenumber"/>
                              <w:sz w:val="16"/>
                              <w:szCs w:val="16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360.2pt;margin-top:0.05pt;width:8pt;height:9.05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Style24"/>
                      <w:rPr>
                        <w:rStyle w:val="Pagenumber"/>
                        <w:sz w:val="16"/>
                        <w:szCs w:val="16"/>
                      </w:rPr>
                    </w:pPr>
                    <w:r>
                      <w:rPr>
                        <w:rStyle w:val="Pagenumber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t>11</w:t>
                    </w:r>
                    <w:r>
                      <w:rPr>
                        <w:rStyle w:val="Pagenumber"/>
                        <w:sz w:val="16"/>
                        <w:szCs w:val="16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1202ee"/>
    <w:pPr>
      <w:keepNext w:val="true"/>
      <w:keepLines/>
      <w:spacing w:before="240" w:after="0"/>
      <w:outlineLvl w:val="0"/>
    </w:pPr>
    <w:rPr>
      <w:rFonts w:ascii="Calibri Light" w:hAnsi="Calibri Light" w:eastAsia="Times New Roman"/>
      <w:color w:val="2E74B5"/>
      <w:sz w:val="32"/>
      <w:szCs w:val="32"/>
    </w:rPr>
  </w:style>
  <w:style w:type="paragraph" w:styleId="2">
    <w:name w:val="Heading 2"/>
    <w:basedOn w:val="Normal"/>
    <w:next w:val="Normal"/>
    <w:link w:val="21"/>
    <w:uiPriority w:val="99"/>
    <w:qFormat/>
    <w:rsid w:val="001f1b53"/>
    <w:pPr>
      <w:keepNext w:val="true"/>
      <w:spacing w:lineRule="auto" w:line="240" w:before="0" w:after="0"/>
      <w:jc w:val="center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97798"/>
    <w:pPr>
      <w:keepNext w:val="true"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21" w:customStyle="1">
    <w:name w:val="Заголовок 2 Знак"/>
    <w:uiPriority w:val="99"/>
    <w:qFormat/>
    <w:rsid w:val="001f1b53"/>
    <w:rPr>
      <w:rFonts w:ascii="Cambria" w:hAnsi="Cambria" w:eastAsia="Times New Roman" w:cs="Times New Roman"/>
      <w:b/>
      <w:bCs/>
      <w:i/>
      <w:iCs/>
      <w:sz w:val="28"/>
      <w:szCs w:val="28"/>
      <w:lang w:val="x-none" w:eastAsia="x-none"/>
    </w:rPr>
  </w:style>
  <w:style w:type="character" w:styleId="Style12" w:customStyle="1">
    <w:name w:val="Ниж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Pagenumber">
    <w:name w:val="page number"/>
    <w:uiPriority w:val="99"/>
    <w:qFormat/>
    <w:rsid w:val="001f1b53"/>
    <w:rPr>
      <w:rFonts w:cs="Times New Roman"/>
    </w:rPr>
  </w:style>
  <w:style w:type="character" w:styleId="Style13" w:customStyle="1">
    <w:name w:val="Верхний колонтитул Знак"/>
    <w:uiPriority w:val="99"/>
    <w:qFormat/>
    <w:rsid w:val="001f1b53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Style14" w:customStyle="1">
    <w:name w:val="Заголовок Знак"/>
    <w:uiPriority w:val="99"/>
    <w:qFormat/>
    <w:rsid w:val="00264135"/>
    <w:rPr>
      <w:rFonts w:ascii="Cambria" w:hAnsi="Cambria" w:eastAsia="Times New Roman" w:cs="Times New Roman"/>
      <w:b/>
      <w:bCs/>
      <w:kern w:val="2"/>
      <w:sz w:val="32"/>
      <w:szCs w:val="32"/>
      <w:lang w:val="x-none" w:eastAsia="x-none"/>
    </w:rPr>
  </w:style>
  <w:style w:type="character" w:styleId="Style15" w:customStyle="1">
    <w:name w:val="Текст выноски Знак"/>
    <w:link w:val="BalloonText"/>
    <w:uiPriority w:val="99"/>
    <w:semiHidden/>
    <w:qFormat/>
    <w:rsid w:val="00264135"/>
    <w:rPr>
      <w:rFonts w:ascii="Segoe UI" w:hAnsi="Segoe UI" w:cs="Segoe UI"/>
      <w:sz w:val="18"/>
      <w:szCs w:val="18"/>
    </w:rPr>
  </w:style>
  <w:style w:type="character" w:styleId="Apple-converted-space" w:customStyle="1">
    <w:name w:val="apple-converted-space"/>
    <w:basedOn w:val="DefaultParagraphFont"/>
    <w:qFormat/>
    <w:rsid w:val="009e52f8"/>
    <w:rPr/>
  </w:style>
  <w:style w:type="character" w:styleId="11" w:customStyle="1">
    <w:name w:val="Заголовок 1 Знак"/>
    <w:uiPriority w:val="9"/>
    <w:qFormat/>
    <w:rsid w:val="001202ee"/>
    <w:rPr>
      <w:rFonts w:ascii="Calibri Light" w:hAnsi="Calibri Light" w:eastAsia="Times New Roman" w:cs="Times New Roman"/>
      <w:color w:val="2E74B5"/>
      <w:sz w:val="32"/>
      <w:szCs w:val="32"/>
    </w:rPr>
  </w:style>
  <w:style w:type="character" w:styleId="31" w:customStyle="1">
    <w:name w:val="Заголовок 3 Знак"/>
    <w:uiPriority w:val="9"/>
    <w:semiHidden/>
    <w:qFormat/>
    <w:rsid w:val="00b97798"/>
    <w:rPr>
      <w:rFonts w:ascii="Calibri Light" w:hAnsi="Calibri Light" w:eastAsia="Times New Roman" w:cs="Times New Roman"/>
      <w:color w:val="1F4D78"/>
      <w:sz w:val="24"/>
      <w:szCs w:val="24"/>
    </w:rPr>
  </w:style>
  <w:style w:type="character" w:styleId="-">
    <w:name w:val="Hyperlink"/>
    <w:uiPriority w:val="99"/>
    <w:semiHidden/>
    <w:unhideWhenUsed/>
    <w:rsid w:val="00b97798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link w:val="Style11"/>
    <w:uiPriority w:val="99"/>
    <w:rsid w:val="001f1b53"/>
    <w:pPr>
      <w:widowControl w:val="false"/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Title"/>
    <w:basedOn w:val="Normal"/>
    <w:next w:val="Style17"/>
    <w:link w:val="Style14"/>
    <w:uiPriority w:val="99"/>
    <w:qFormat/>
    <w:rsid w:val="00264135"/>
    <w:pPr>
      <w:spacing w:lineRule="auto" w:line="240" w:before="0" w:after="0"/>
      <w:jc w:val="center"/>
    </w:pPr>
    <w:rPr>
      <w:rFonts w:ascii="Cambria" w:hAnsi="Cambria" w:eastAsia="Times New Roman"/>
      <w:b/>
      <w:bCs/>
      <w:kern w:val="2"/>
      <w:sz w:val="32"/>
      <w:szCs w:val="32"/>
      <w:lang w:val="x-none" w:eastAsia="x-non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rsid w:val="001f1b53"/>
    <w:pPr>
      <w:spacing w:before="0" w:after="160"/>
      <w:ind w:left="720" w:hanging="0"/>
      <w:contextualSpacing/>
    </w:pPr>
    <w:rPr/>
  </w:style>
  <w:style w:type="paragraph" w:styleId="Style22" w:customStyle="1">
    <w:name w:val="Колонтитул"/>
    <w:basedOn w:val="Normal"/>
    <w:qFormat/>
    <w:pPr/>
    <w:rPr/>
  </w:style>
  <w:style w:type="paragraph" w:styleId="Style23">
    <w:name w:val="Footer"/>
    <w:basedOn w:val="Normal"/>
    <w:link w:val="Style12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Style24">
    <w:name w:val="Header"/>
    <w:basedOn w:val="Normal"/>
    <w:link w:val="Style13"/>
    <w:uiPriority w:val="99"/>
    <w:rsid w:val="001f1b5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rsid w:val="0026413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7027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Default" w:customStyle="1">
    <w:name w:val="Default"/>
    <w:qFormat/>
    <w:rsid w:val="00fb3f5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 w:bidi="ar-SA"/>
    </w:rPr>
  </w:style>
  <w:style w:type="paragraph" w:styleId="ConsPlusTitle" w:customStyle="1">
    <w:name w:val="ConsPlusTitle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auto"/>
      <w:kern w:val="0"/>
      <w:sz w:val="22"/>
      <w:szCs w:val="20"/>
      <w:lang w:val="ru-RU" w:eastAsia="ru-RU" w:bidi="ar-SA"/>
    </w:rPr>
  </w:style>
  <w:style w:type="paragraph" w:styleId="ConsPlusCell" w:customStyle="1">
    <w:name w:val="ConsPlusCell"/>
    <w:qFormat/>
    <w:rsid w:val="00f3173c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" w:customStyle="1">
    <w:name w:val="ConsPlusNormal"/>
    <w:qFormat/>
    <w:rsid w:val="00fd236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Style25" w:customStyle="1">
    <w:name w:val="Содержимое врезки"/>
    <w:basedOn w:val="Normal"/>
    <w:qFormat/>
    <w:pPr/>
    <w:rPr/>
  </w:style>
  <w:style w:type="paragraph" w:styleId="Style26">
    <w:name w:val="Содержимое таблицы"/>
    <w:basedOn w:val="Normal"/>
    <w:qFormat/>
    <w:pPr>
      <w:widowControl w:val="false"/>
      <w:suppressLineNumbers/>
    </w:pPr>
    <w:rPr/>
  </w:style>
  <w:style w:type="paragraph" w:styleId="Style27">
    <w:name w:val="Заголовок таблицы"/>
    <w:basedOn w:val="Style26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39"/>
    <w:rsid w:val="00fd236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header" Target="header4.xml"/><Relationship Id="rId8" Type="http://schemas.openxmlformats.org/officeDocument/2006/relationships/header" Target="header5.xml"/><Relationship Id="rId9" Type="http://schemas.openxmlformats.org/officeDocument/2006/relationships/footer" Target="footer3.xml"/><Relationship Id="rId10" Type="http://schemas.openxmlformats.org/officeDocument/2006/relationships/footer" Target="footer4.xml"/><Relationship Id="rId11" Type="http://schemas.openxmlformats.org/officeDocument/2006/relationships/footer" Target="footer5.xml"/><Relationship Id="rId12" Type="http://schemas.openxmlformats.org/officeDocument/2006/relationships/numbering" Target="numbering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C059C-69C9-4409-A0A9-4971E5D74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Application>LibreOffice/7.5.6.2$Linux_X86_64 LibreOffice_project/50$Build-2</Application>
  <AppVersion>15.0000</AppVersion>
  <Pages>11</Pages>
  <Words>1788</Words>
  <Characters>10182</Characters>
  <CharactersWithSpaces>11331</CharactersWithSpaces>
  <Paragraphs>679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2023-02-20T13:33:00Z</dcterms:created>
  <dc:creator>Управление по делам молодежи</dc:creator>
  <dc:description/>
  <dc:language>ru-RU</dc:language>
  <cp:lastModifiedBy/>
  <cp:lastPrinted>2022-08-17T06:22:00Z</cp:lastPrinted>
  <dcterms:modified xsi:type="dcterms:W3CDTF">2026-02-20T10:34:33Z</dcterms:modified>
  <cp:revision>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