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Проект 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29.10.2025 № 8860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2026-2028 годы»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>П О С Т А Н О В Л Я Ю: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142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постановление Исполнительного комитета от 29.10.2025 № 8860 «Об утверждении муниципальной программы «Развитие системы образования города Набережные Челны на 2026-2028 годы»  следующие изменения: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59" w:before="0" w:after="0"/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>
      <w:pPr>
        <w:pStyle w:val="ListParagraph"/>
        <w:spacing w:before="0" w:after="0"/>
        <w:ind w:left="142"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2026-2028 годы» за счет средств, предусмотренных в бюджете города по разделу «Образование», в размере на 2026 год – 16612058,51 тысяч рублей, 2027 год – 15960081,71 тысяч рублей, 2028 год – 15960081,71 тысяч рублей.»;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 xml:space="preserve">«Развитие системы образования города Набережные Челны на 2026-2028 годы»: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3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400"/>
        <w:gridCol w:w="1702"/>
        <w:gridCol w:w="1560"/>
        <w:gridCol w:w="1560"/>
        <w:gridCol w:w="1558"/>
        <w:gridCol w:w="1559"/>
      </w:tblGrid>
      <w:tr>
        <w:trPr>
          <w:cantSplit w:val="true"/>
        </w:trPr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«Объемы и источники       финансирования  Программы с разбивкой по годам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Источники     финансирования</w:t>
            </w:r>
          </w:p>
        </w:tc>
        <w:tc>
          <w:tcPr>
            <w:tcW w:w="6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Годы  реализации Программы</w:t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2026 год (тыс. рублей)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2027 год  (тыс. рублей)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2028 год  (тыс. рублей)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 за период  реализации (тыс. рублей)</w:t>
            </w:r>
          </w:p>
        </w:tc>
      </w:tr>
      <w:tr>
        <w:trPr>
          <w:trHeight w:val="532" w:hRule="atLeast"/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16612058,51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15960081,71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15960081,71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57" w:before="0" w:after="0"/>
              <w:jc w:val="right"/>
              <w:rPr>
                <w:rFonts w:ascii="Nimbus Roman" w:hAnsi="Nimbus Roman" w:cs="Nimbus Roman"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color w:val="000000"/>
                <w:sz w:val="26"/>
                <w:szCs w:val="26"/>
              </w:rPr>
              <w:t>48532221,93</w:t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bCs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color w:val="000000"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bCs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/>
                <w:color w:val="000000"/>
                <w:sz w:val="26"/>
                <w:szCs w:val="26"/>
              </w:rPr>
            </w:pPr>
            <w:r>
              <w:rPr>
                <w:rFonts w:cs="Nimbus Roman" w:ascii="Nimbus Roman" w:hAnsi="Nimbus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16612058,51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15960081,71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bCs/>
                <w:sz w:val="26"/>
                <w:szCs w:val="26"/>
              </w:rPr>
              <w:t>15960081,71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57" w:before="0" w:after="0"/>
              <w:jc w:val="right"/>
              <w:rPr>
                <w:rFonts w:ascii="Nimbus Roman" w:hAnsi="Nimbus Roman" w:cs="Nimbus Roman"/>
                <w:sz w:val="26"/>
                <w:szCs w:val="26"/>
              </w:rPr>
            </w:pPr>
            <w:r>
              <w:rPr>
                <w:rFonts w:eastAsia="Nimbus Roman" w:cs="Nimbus Roman" w:ascii="Nimbus Roman" w:hAnsi="Nimbus Roman"/>
                <w:color w:val="000000"/>
                <w:sz w:val="26"/>
                <w:szCs w:val="26"/>
              </w:rPr>
              <w:t>48532221,93</w:t>
            </w:r>
          </w:p>
        </w:tc>
      </w:tr>
      <w:tr>
        <w:trPr>
          <w:cantSplit w:val="true"/>
        </w:trPr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firstLine="708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Челны»;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«Глава 5. Объемы и источники финансирования Программы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финансирования Программы на 2026-2028 годы составляет </w:t>
      </w:r>
      <w:r>
        <w:rPr>
          <w:rFonts w:eastAsia="Nimbus Roman" w:cs="Nimbus Roman" w:ascii="Nimbus Roman" w:hAnsi="Nimbus Roman"/>
          <w:color w:val="000000"/>
          <w:sz w:val="26"/>
          <w:szCs w:val="26"/>
        </w:rPr>
        <w:t>48532221,93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тыс. рублей.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Всего за период </w:t>
      </w:r>
      <w:r>
        <w:rPr>
          <w:rFonts w:eastAsia="Nimbus Roman" w:cs="Nimbus Roman" w:ascii="Nimbus Roman" w:hAnsi="Nimbus Roman"/>
          <w:color w:val="000000"/>
          <w:sz w:val="26"/>
          <w:szCs w:val="26"/>
        </w:rPr>
        <w:t>48532221,93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2026 год – </w:t>
      </w:r>
      <w:r>
        <w:rPr>
          <w:rFonts w:eastAsia="Nimbus Roman" w:cs="Nimbus Roman" w:ascii="Nimbus Roman" w:hAnsi="Nimbus Roman"/>
          <w:bCs/>
          <w:sz w:val="26"/>
          <w:szCs w:val="26"/>
        </w:rPr>
        <w:t>16612058,51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рублей, 2027 год – </w:t>
      </w:r>
      <w:r>
        <w:rPr>
          <w:rFonts w:eastAsia="Nimbus Roman" w:cs="Nimbus Roman" w:ascii="Nimbus Roman" w:hAnsi="Nimbus Roman"/>
          <w:bCs/>
          <w:sz w:val="26"/>
          <w:szCs w:val="26"/>
        </w:rPr>
        <w:t>15960081,71</w:t>
      </w:r>
      <w:r>
        <w:rPr>
          <w:rFonts w:ascii="Times New Roman" w:hAnsi="Times New Roman"/>
          <w:sz w:val="26"/>
          <w:szCs w:val="26"/>
        </w:rPr>
        <w:t xml:space="preserve"> тыс. рублей, 2028 год – </w:t>
      </w:r>
      <w:r>
        <w:rPr>
          <w:rFonts w:eastAsia="Nimbus Roman" w:cs="Nimbus Roman" w:ascii="Nimbus Roman" w:hAnsi="Nimbus Roman"/>
          <w:bCs/>
          <w:sz w:val="26"/>
          <w:szCs w:val="26"/>
        </w:rPr>
        <w:t>15960081,71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рублей.»;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9 изложить в новой редакции согласно приложению № 1;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10 изложить в новой редакции согласно приложению № 2.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>
      <w:pPr>
        <w:sectPr>
          <w:footerReference w:type="default" r:id="rId2"/>
          <w:type w:val="nextPage"/>
          <w:pgSz w:w="11906" w:h="16838"/>
          <w:pgMar w:left="1134" w:right="850" w:gutter="0" w:header="0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     Ф.Ш. Салахов</w:t>
      </w:r>
    </w:p>
    <w:p>
      <w:pPr>
        <w:pStyle w:val="Normal"/>
        <w:spacing w:lineRule="auto" w:line="240" w:before="0" w:after="0"/>
        <w:ind w:left="0" w:right="0" w:firstLine="104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>
      <w:pPr>
        <w:pStyle w:val="Normal"/>
        <w:spacing w:lineRule="auto" w:line="240" w:before="0" w:after="0"/>
        <w:ind w:left="0" w:right="0" w:firstLine="104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 </w:t>
      </w:r>
    </w:p>
    <w:p>
      <w:pPr>
        <w:pStyle w:val="Normal"/>
        <w:spacing w:lineRule="auto" w:line="240" w:before="0" w:after="0"/>
        <w:ind w:left="0" w:right="0" w:firstLine="104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left="0" w:right="0" w:firstLine="104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«___» _______2026 № ____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</w:rPr>
        <w:t>лава  9. 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127"/>
        <w:gridCol w:w="2551"/>
        <w:gridCol w:w="1134"/>
        <w:gridCol w:w="1134"/>
        <w:gridCol w:w="1133"/>
        <w:gridCol w:w="1134"/>
        <w:gridCol w:w="1276"/>
        <w:gridCol w:w="1276"/>
        <w:gridCol w:w="1278"/>
        <w:gridCol w:w="2406"/>
      </w:tblGrid>
      <w:tr>
        <w:trPr>
          <w:trHeight w:val="1042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523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цели</w:t>
            </w:r>
            <w:r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</w:rPr>
              <w:t>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>Наименование задачи: 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</w:t>
            </w:r>
          </w:p>
        </w:tc>
      </w:tr>
      <w:tr>
        <w:trPr>
          <w:trHeight w:val="1841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местами в дошкольных организациях детей через АИС «Электронный детский сад»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5878743,48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5907401,90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5907401,90</w:t>
            </w:r>
          </w:p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cs="Nimbus Roman" w:ascii="Nimbus Roman" w:hAnsi="Nimbus Roman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детей с ОВЗ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Nimbus Roman" w:hAnsi="Nimbus Roman" w:cs="Nimbus Roman"/>
                <w:sz w:val="22"/>
                <w:szCs w:val="22"/>
              </w:rPr>
            </w:pPr>
            <w:r>
              <w:rPr>
                <w:rFonts w:eastAsia="Nimbus Roman" w:cs="Nimbus Roman" w:ascii="Nimbus Roman" w:hAnsi="Nimbus Roman"/>
                <w:sz w:val="22"/>
                <w:szCs w:val="22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98245,41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98245,41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98245,41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106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создать условия для обеспечения качества образования на основе преемственности образовательных программ на всех уровнях общего образования</w:t>
            </w:r>
          </w:p>
        </w:tc>
      </w:tr>
      <w:tr>
        <w:trPr>
          <w:trHeight w:val="144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Федеральных 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успеваемость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98,8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99,3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99,8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99,8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9193284,13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8506936,40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8506936,40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>
        <w:trPr>
          <w:trHeight w:val="567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охват детей с ОВЗ (аутистов) общим образованием посредством развития инклюзивного и адаптированного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15523,94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15523,94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15523,94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3»;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53»</w:t>
            </w:r>
          </w:p>
        </w:tc>
      </w:tr>
      <w:tr>
        <w:trPr>
          <w:trHeight w:val="154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доступного образования детям - инвалидам и детям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общеобразовательных учреждений, оснащенных техническими средствами перемещения в здании для инвалидов и людей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11,25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11,25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744,23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744,23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744,23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Создание условий для организации и проведения государственной итоговой аттестации  9, 11 классов в форме единого государственного и основного государственного экзамена (оснащение пунктов проведения экзаменов)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количество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4000,0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выпускников 11 классов по результатам государственной итоговой аттестации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получивших 100 баллов,  по результатам государственной итоговой аттестации по общеобразовательным программам среднего общего образования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413,82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413,82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413,82</w:t>
            </w:r>
          </w:p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Nimbus Roman" w:hAnsi="Nimbus Roman" w:cs="Nimbus Roman"/>
              </w:rPr>
            </w:pPr>
            <w:r>
              <w:rPr>
                <w:rFonts w:cs="Nimbus Roman" w:ascii="Nimbus Roman" w:hAnsi="Nimbus Roman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591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Наименование задачи: создать эффективную систему психологического сопровождения образовательного процесса на всех уровнях образования</w:t>
            </w:r>
          </w:p>
        </w:tc>
      </w:tr>
      <w:tr>
        <w:trPr>
          <w:trHeight w:val="219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Психолого-педагогическое сопровождение детей школьного возраста, находящихся в условиях 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>оздание условий для обучения детей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обеспеченных индивидуальным медико-социальным и психолого-педагогическим сопровождением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19616,35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19664,64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19664,64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>
        <w:trPr>
          <w:trHeight w:val="69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</w:p>
        </w:tc>
      </w:tr>
      <w:tr>
        <w:trPr>
          <w:trHeight w:val="1543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Участие школьников в предметных олимпиадах различного уровня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победителей и призеров регионального этапа всероссийской и заключительного этапа республиканской  олимпиад школьников</w:t>
            </w:r>
            <w:r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4113,60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4113,60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4113,60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 муниципальные общеобразовательные организации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образовательной и воспитательной программы для детей в лицеях-интернатах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обеспеченность образовательных организаций учебно-методическими  пособиями и оборудованием в соответствии с федеральным и региональным перечнем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165676,84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166910,13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166910,13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79»; муниципальное автономное общеобразовательное учреждение «Лицей-интернат № 84 имени Г. Акыша»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военно-патриотической работы в образовательных организациях города</w:t>
            </w:r>
          </w:p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 в несении Вахты памяти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4962,34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Nimbus Roman" w:cs="Nimbus Roman" w:ascii="Nimbus Roman" w:hAnsi="Nimbus Roman"/>
              </w:rPr>
              <w:t>4962,34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Nimbus Roman" w:cs="Nimbus Roman" w:ascii="Nimbus Roman" w:hAnsi="Nimbus Roman"/>
              </w:rPr>
              <w:t>4962,34</w:t>
            </w:r>
          </w:p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cs="Nimbus Roman" w:ascii="Nimbus Roman" w:hAnsi="Nimbus Roman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247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проектов, конкурсов и фестивалей в рамках реализации системы воспитания в образовательных организациях города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в конкурсах, фестивалях, научных и творческих конференциях различного 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692,0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692,0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692,0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04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both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Наименование задачи: обеспечить условия для развития творческой индивидуальности личности и социализации</w:t>
            </w:r>
          </w:p>
        </w:tc>
      </w:tr>
      <w:tr>
        <w:trPr>
          <w:trHeight w:val="1250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303" w:leader="none"/>
              </w:tabs>
              <w:spacing w:before="0" w:after="200"/>
              <w:ind w:left="2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различного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807220,55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824867,03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824867,03</w:t>
            </w:r>
          </w:p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cs="Nimbus Roman" w:ascii="Nimbus Roman" w:hAnsi="Nimbus Roman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учреждения дополнительного образования художественно-эстетического направления</w:t>
            </w:r>
          </w:p>
        </w:tc>
      </w:tr>
      <w:tr>
        <w:trPr>
          <w:trHeight w:val="182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 различной 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382229,13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372292,79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372292,79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муниципальные учреждения дополнительного образования многопрофильной направленности</w:t>
            </w:r>
          </w:p>
        </w:tc>
      </w:tr>
      <w:tr>
        <w:trPr>
          <w:trHeight w:val="1128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Nimbus Roman" w:hAnsi="Nimbus Roman" w:cs="Nimbus Roman"/>
                <w:bCs/>
              </w:rPr>
            </w:pPr>
            <w:r>
              <w:rPr>
                <w:rFonts w:eastAsia="Nimbus Roman" w:cs="Nimbus Roman" w:ascii="Nimbus Roman" w:hAnsi="Nimbus Roman"/>
              </w:rPr>
              <w:t>Наименование задачи: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spacing w:lineRule="auto" w:line="240"/>
              <w:ind w:hanging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научно-консультационной работы, семинаров по инновациям, методам научного исследования в образовательных организациях города</w:t>
            </w:r>
          </w:p>
          <w:p>
            <w:pPr>
              <w:pStyle w:val="Style30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 участвующих в научно- экспериментальной деятельности, инновационных проектах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</w:t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30774,45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27495,24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27495,24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49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Наименование задачи: обеспечить потребности отрасли в компетентных, высококвалифицированных специалистах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ind w:firstLine="22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педагогов, имеющих квалификационные категории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72,5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Мероприятие носит организационный характер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Мероприятие носит организационный характер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firstLine="220"/>
              <w:rPr>
                <w:rStyle w:val="FontStyle41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 проведение  профессиональных конкурс</w:t>
            </w:r>
            <w:r>
              <w:rPr>
                <w:rFonts w:ascii="Times New Roman" w:hAnsi="Times New Roman"/>
              </w:rPr>
              <w:t xml:space="preserve">ов, конференций, поощрение </w:t>
            </w:r>
            <w:r>
              <w:rPr>
                <w:rStyle w:val="FontStyle41"/>
                <w:sz w:val="22"/>
                <w:szCs w:val="22"/>
              </w:rPr>
              <w:t>лучших работников отрасли образования</w:t>
            </w:r>
          </w:p>
          <w:p>
            <w:pPr>
              <w:pStyle w:val="Normal"/>
              <w:widowControl w:val="false"/>
              <w:spacing w:before="0" w:after="60"/>
              <w:ind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доля педагогов, участвующих в конкурсах, конференциях и иных методических мероприятиях по повышению профмастерства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Nimbus Roman" w:ascii="Nimbus Roman" w:hAnsi="Nimbus Roman"/>
              </w:rPr>
              <w:t>2818,24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Nimbus Roman" w:cs="Nimbus Roman" w:ascii="Nimbus Roman" w:hAnsi="Nimbus Roman"/>
              </w:rPr>
              <w:t>2818,24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2818,24</w:t>
            </w:r>
          </w:p>
          <w:p>
            <w:pPr>
              <w:pStyle w:val="Normal"/>
              <w:widowControl w:val="false"/>
              <w:rPr>
                <w:rFonts w:ascii="Nimbus Roman" w:hAnsi="Nimbus Roman" w:cs="Nimbus Roman"/>
              </w:rPr>
            </w:pPr>
            <w:r>
              <w:rPr>
                <w:rFonts w:cs="Nimbus Roman" w:ascii="Nimbus Roman" w:hAnsi="Nimbus Roman"/>
              </w:rPr>
            </w:r>
          </w:p>
          <w:p>
            <w:pPr>
              <w:pStyle w:val="Normal"/>
              <w:widowControl w:val="false"/>
              <w:rPr>
                <w:rFonts w:ascii="Nimbus Roman" w:hAnsi="Nimbus Roman" w:cs="Nimbus Roman"/>
              </w:rPr>
            </w:pPr>
            <w:r>
              <w:rPr>
                <w:rFonts w:cs="Nimbus Roman" w:ascii="Nimbus Roman" w:hAnsi="Nimbus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cs="Nimbus Roman" w:ascii="Nimbus Roman" w:hAnsi="Nimbus Roman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</w:rPr>
              <w:t>конкурса проектов по развитию муниципальных образовательных организаций города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3000,0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highlight w:val="none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highlight w:val="none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Заместитель Руководителя Аппарата, </w:t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начальник управления делопроизводством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ru-RU"/>
        </w:rPr>
        <w:t>Исполнительного комитета                                                                                                                                                                    Н.И. Галиева</w:t>
      </w:r>
      <w:r>
        <w:br w:type="page"/>
      </w:r>
    </w:p>
    <w:p>
      <w:pPr>
        <w:pStyle w:val="Normal"/>
        <w:spacing w:lineRule="auto" w:line="240" w:before="0" w:after="0"/>
        <w:ind w:left="0" w:right="0" w:firstLine="104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>
      <w:pPr>
        <w:pStyle w:val="Normal"/>
        <w:spacing w:lineRule="auto" w:line="240" w:before="0" w:after="0"/>
        <w:ind w:left="0" w:right="0" w:firstLine="104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 </w:t>
      </w:r>
    </w:p>
    <w:p>
      <w:pPr>
        <w:pStyle w:val="Normal"/>
        <w:spacing w:lineRule="auto" w:line="240" w:before="0" w:after="0"/>
        <w:ind w:left="0" w:right="0" w:firstLine="104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tabs>
          <w:tab w:val="clear" w:pos="708"/>
          <w:tab w:val="left" w:pos="1965" w:leader="none"/>
          <w:tab w:val="left" w:pos="4545" w:leader="none"/>
        </w:tabs>
        <w:jc w:val="center"/>
        <w:rPr>
          <w:rFonts w:ascii="Times New Roman" w:hAnsi="Times New Roman"/>
          <w:highlight w:val="none"/>
          <w:lang w:val="tt-RU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от «___» _______2026 № ____</w:t>
      </w:r>
    </w:p>
    <w:p>
      <w:pPr>
        <w:pStyle w:val="Normal"/>
        <w:tabs>
          <w:tab w:val="clear" w:pos="708"/>
          <w:tab w:val="left" w:pos="1965" w:leader="none"/>
          <w:tab w:val="left" w:pos="4545" w:leader="none"/>
        </w:tabs>
        <w:jc w:val="center"/>
        <w:rPr>
          <w:rFonts w:ascii="Times New Roman" w:hAnsi="Times New Roman"/>
          <w:highlight w:val="none"/>
          <w:lang w:val="tt-RU"/>
        </w:rPr>
      </w:pPr>
      <w:r>
        <w:rPr>
          <w:rFonts w:ascii="Times New Roman" w:hAnsi="Times New Roman"/>
          <w:lang w:val="tt-RU"/>
        </w:rPr>
        <w:t>Глава 10. Источники и объемы финансового обеспечения программы</w:t>
      </w:r>
    </w:p>
    <w:p>
      <w:pPr>
        <w:pStyle w:val="Normal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проекта бюджета города Набережные Челны.</w:t>
      </w:r>
    </w:p>
    <w:tbl>
      <w:tblPr>
        <w:tblW w:w="13819" w:type="dxa"/>
        <w:jc w:val="left"/>
        <w:tblInd w:w="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86"/>
        <w:gridCol w:w="3328"/>
        <w:gridCol w:w="3236"/>
        <w:gridCol w:w="2968"/>
      </w:tblGrid>
      <w:tr>
        <w:trPr>
          <w:trHeight w:val="630" w:hRule="atLeast"/>
        </w:trPr>
        <w:tc>
          <w:tcPr>
            <w:tcW w:w="4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9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highlight w:val="none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>
        <w:trPr>
          <w:trHeight w:val="263" w:hRule="atLeast"/>
        </w:trPr>
        <w:tc>
          <w:tcPr>
            <w:tcW w:w="4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9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Источник финансирования – муниципальный бюджет (тыс. руб.)</w:t>
            </w:r>
          </w:p>
        </w:tc>
      </w:tr>
      <w:tr>
        <w:trPr>
          <w:trHeight w:val="448" w:hRule="atLeast"/>
        </w:trPr>
        <w:tc>
          <w:tcPr>
            <w:tcW w:w="4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2026 год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2027 год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2028 год</w:t>
            </w:r>
          </w:p>
        </w:tc>
      </w:tr>
      <w:tr>
        <w:trPr>
          <w:trHeight w:val="515" w:hRule="atLeast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общего образования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9 229 552,30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8 543 204,57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8 543 204,57</w:t>
            </w:r>
          </w:p>
        </w:tc>
      </w:tr>
      <w:tr>
        <w:trPr>
          <w:trHeight w:val="515" w:hRule="atLeast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165 676,84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166 910,13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166 910,13</w:t>
            </w:r>
          </w:p>
        </w:tc>
      </w:tr>
      <w:tr>
        <w:trPr>
          <w:trHeight w:val="670" w:hRule="atLeast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дополнительного образования в многопрофильных организациях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382 229,13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372 292,79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372 292,79</w:t>
            </w:r>
          </w:p>
        </w:tc>
      </w:tr>
      <w:tr>
        <w:trPr>
          <w:trHeight w:val="844" w:hRule="atLeast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дополнительного образования художественно-эстетической направленности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807 220,55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824 867,03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824 867,03</w:t>
            </w:r>
          </w:p>
        </w:tc>
      </w:tr>
      <w:tr>
        <w:trPr>
          <w:trHeight w:val="630" w:hRule="atLeast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учебно-методического сопровождения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30 774,45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27 495,24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27 495,24</w:t>
            </w:r>
          </w:p>
        </w:tc>
      </w:tr>
      <w:tr>
        <w:trPr>
          <w:trHeight w:val="630" w:hRule="atLeast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  <w:color w:val="000000"/>
              </w:rPr>
            </w:pPr>
            <w:r>
              <w:rPr>
                <w:rFonts w:eastAsia="Nimbus Roman" w:cs="Nimbus Roman" w:ascii="Nimbus Roman" w:hAnsi="Nimbus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19 616,35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19 664,64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19 664,64</w:t>
            </w:r>
          </w:p>
        </w:tc>
      </w:tr>
      <w:tr>
        <w:trPr>
          <w:trHeight w:val="630" w:hRule="atLeast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lang w:eastAsia="ru-RU"/>
              </w:rPr>
              <w:t>Система дошкольного образования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5 976 988,89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6 005 647,31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6 005 647,31</w:t>
            </w:r>
          </w:p>
        </w:tc>
      </w:tr>
      <w:tr>
        <w:trPr>
          <w:trHeight w:val="515" w:hRule="atLeast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  <w:lang w:eastAsia="ru-RU"/>
              </w:rPr>
              <w:t>Итого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16 612 058,51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15 960 081,71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 w:cs="Nimbus Roman"/>
              </w:rPr>
            </w:pPr>
            <w:r>
              <w:rPr>
                <w:rFonts w:eastAsia="Nimbus Roman" w:cs="Nimbus Roman" w:ascii="Nimbus Roman" w:hAnsi="Nimbus Roman"/>
              </w:rPr>
              <w:t>15 960 081,71</w:t>
            </w:r>
          </w:p>
        </w:tc>
      </w:tr>
    </w:tbl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делопроизводством</w:t>
      </w:r>
    </w:p>
    <w:p>
      <w:pPr>
        <w:pStyle w:val="ListParagraph"/>
        <w:tabs>
          <w:tab w:val="clear" w:pos="708"/>
          <w:tab w:val="left" w:pos="851" w:leader="none"/>
        </w:tabs>
        <w:spacing w:before="0" w:after="200"/>
        <w:ind w:left="0"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                       Н.И. Галиева</w:t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567" w:gutter="0" w:header="0" w:top="425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Nimbus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semiHidden/>
    <w:qFormat/>
    <w:rPr>
      <w:rFonts w:ascii="Calibri" w:hAnsi="Calibri" w:eastAsia="Calibri" w:cs="Times New Roman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Calibri" w:hAnsi="Calibri" w:eastAsia="Calibri" w:cs="Times New Roman"/>
    </w:rPr>
  </w:style>
  <w:style w:type="character" w:styleId="Style11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FontStyle41" w:customStyle="1">
    <w:name w:val="Font Style41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2" w:customStyle="1">
    <w:name w:val="Основной текст с отступом Знак"/>
    <w:basedOn w:val="DefaultParagraphFont"/>
    <w:qFormat/>
    <w:rPr>
      <w:rFonts w:ascii="Times New Roman" w:hAnsi="Times New Roman" w:eastAsia="Times New Roman"/>
      <w:sz w:val="28"/>
    </w:rPr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rPr>
      <w:sz w:val="22"/>
      <w:szCs w:val="22"/>
      <w:lang w:eastAsia="en-U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3"/>
    <w:pPr/>
    <w:rPr/>
  </w:style>
  <w:style w:type="paragraph" w:styleId="Style23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pPr>
      <w:widowControl w:val="false"/>
      <w:spacing w:lineRule="exact" w:line="349" w:before="0" w:after="0"/>
      <w:ind w:firstLine="68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0" w:customStyle="1">
    <w:name w:val="Style30"/>
    <w:basedOn w:val="Normal"/>
    <w:uiPriority w:val="99"/>
    <w:qFormat/>
    <w:pPr>
      <w:widowControl w:val="false"/>
      <w:spacing w:lineRule="exact" w:line="327" w:before="0" w:after="0"/>
      <w:ind w:firstLine="1392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7" w:customStyle="1">
    <w:name w:val="Нормальный (таблица)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28">
    <w:name w:val="Body Text Indent"/>
    <w:basedOn w:val="Normal"/>
    <w:unhideWhenUsed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F1FE-4BA3-455A-9FC7-911BFADA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11</Pages>
  <Words>1637</Words>
  <Characters>12651</Characters>
  <CharactersWithSpaces>14708</CharactersWithSpaces>
  <Paragraphs>358</Paragraphs>
  <Company>msisp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2022-08-23T14:05:00Z</dcterms:created>
  <dc:creator>VylegzaninaIV</dc:creator>
  <dc:description/>
  <dc:language>ru-RU</dc:language>
  <cp:lastModifiedBy/>
  <dcterms:modified xsi:type="dcterms:W3CDTF">2026-02-20T07:22:21Z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