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57"/>
        <w:jc w:val="right"/>
        <w:rPr/>
      </w:pPr>
      <w:r>
        <w:rPr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Постановления</w:t>
      </w:r>
    </w:p>
    <w:p>
      <w:pPr>
        <w:pStyle w:val="Normal"/>
        <w:ind w:right="4743"/>
        <w:jc w:val="right"/>
        <w:rPr/>
      </w:pPr>
      <w:r>
        <w:rPr>
          <w:spacing w:val="-2"/>
          <w:sz w:val="28"/>
          <w:szCs w:val="28"/>
        </w:rPr>
        <w:t xml:space="preserve"> </w:t>
      </w:r>
    </w:p>
    <w:p>
      <w:pPr>
        <w:pStyle w:val="Normal"/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от 28.10.2024 </w:t>
      </w:r>
    </w:p>
    <w:p>
      <w:pPr>
        <w:pStyle w:val="Normal"/>
        <w:ind w:right="47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7086 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2025-2027 годы»</w:t>
      </w:r>
    </w:p>
    <w:p>
      <w:pPr>
        <w:pStyle w:val="Normal"/>
        <w:shd w:val="clear" w:color="auto" w:fill="FFFFFF"/>
        <w:ind w:firstLine="550" w:left="10" w:right="-1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/>
        <w:jc w:val="center"/>
        <w:rPr>
          <w:color w:val="000000"/>
          <w:sz w:val="28"/>
        </w:rPr>
      </w:pPr>
      <w:r>
        <w:rPr>
          <w:color w:val="000000"/>
          <w:sz w:val="28"/>
        </w:rPr>
        <w:t>П О С Т А Н О В Л Я Ю:</w:t>
      </w:r>
    </w:p>
    <w:p>
      <w:pPr>
        <w:pStyle w:val="NoSpacing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numPr>
          <w:ilvl w:val="0"/>
          <w:numId w:val="2"/>
        </w:numPr>
        <w:ind w:firstLine="284" w:left="0" w:right="-2"/>
        <w:jc w:val="both"/>
        <w:rPr>
          <w:color w:val="000000"/>
          <w:sz w:val="28"/>
        </w:rPr>
      </w:pPr>
      <w:r>
        <w:rPr>
          <w:color w:val="000000"/>
          <w:sz w:val="28"/>
        </w:rPr>
        <w:t>Внести в Постановление Исполнительного комитета от 28.10.2024 № 7086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2025–2027 годы» (в редакции Постановлений Исполнительного комитета от 07.05.2025 № 3317, от 22.08.2025 № 6174, от 05.12.2025 № 10213)  следующие изменения:</w:t>
      </w:r>
    </w:p>
    <w:p>
      <w:pPr>
        <w:pStyle w:val="NoSpacing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«2. 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муниципального образования «город Набережные Челны» по разделам (подразделам) 01.13 «Другие общегосударственные вопросы», 03.10 «Защита населения и территории от чрезвычайных ситуаций природного и техногенного характера, пожарная безопасность», 04.06 «Водное хозяйство», в 2025 году – 2 549,04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в 2026 году – 7 636,00 тыс. рублей, в 2027 году – 3 110,00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рублей.»;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 муниципальной программе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годы»: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редакции.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tbl>
      <w:tblPr>
        <w:tblW w:w="100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74"/>
        <w:gridCol w:w="1990"/>
        <w:gridCol w:w="1132"/>
        <w:gridCol w:w="1228"/>
        <w:gridCol w:w="8"/>
        <w:gridCol w:w="1316"/>
        <w:gridCol w:w="1545"/>
      </w:tblGrid>
      <w:tr>
        <w:trPr>
          <w:trHeight w:val="225" w:hRule="atLeast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«Объемы и источники финансирования программы</w:t>
            </w:r>
          </w:p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 разбивкой по годам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5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Годы реализации программы, тыс.руб.</w:t>
            </w:r>
          </w:p>
        </w:tc>
      </w:tr>
      <w:tr>
        <w:trPr>
          <w:trHeight w:val="58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2026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Всего за период реализации</w:t>
            </w:r>
          </w:p>
        </w:tc>
      </w:tr>
      <w:tr>
        <w:trPr>
          <w:trHeight w:val="484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Муниципальный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2 549,04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7 636,00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3 110,00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13 295,04</w:t>
            </w:r>
          </w:p>
        </w:tc>
      </w:tr>
      <w:tr>
        <w:trPr>
          <w:trHeight w:val="19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Республиканский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Прочие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2 549,04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7 636,00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3 110,00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13 295,04»;</w:t>
            </w:r>
          </w:p>
        </w:tc>
      </w:tr>
    </w:tbl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- в главе 3 таблицу «Цели, задачи, индикаторы оценки результатов программы и финансирование по мероприятиям» изложить в новой редакции согласно приложению;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- главу 6  изложить в следующей редакции:</w:t>
      </w:r>
    </w:p>
    <w:p>
      <w:pPr>
        <w:pStyle w:val="NoSpacing"/>
        <w:ind w:firstLine="567"/>
        <w:jc w:val="center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«Глава 6. Ресурсное обеспечение программы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Ресурсное обеспечение программы составляют средства бюджета города в размере  13 295,04 тыс. руб, в том числе: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2025 год – 2 549,04 тыс. руб.;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2026 год – 7 636,00 тыс. руб.;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2027 год – 3 110,00 тыс. руб.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При сокращении или увеличении ассигнований на реализацию программы исполнитель программы вносит предложения по корректировке перечня мероприятий.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Объемы финансирования программы носят прогнозный характер и подлежат уточнению в установленном порядке.».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 xml:space="preserve">3. 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zh-CN" w:bidi="ar-SA"/>
        </w:rPr>
        <w:t>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(https://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en-US" w:eastAsia="zh-CN" w:bidi="ar-SA"/>
        </w:rPr>
        <w:t>pr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zh-CN" w:bidi="ar-SA"/>
        </w:rPr>
        <w:t>а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en-US" w:eastAsia="zh-CN" w:bidi="ar-SA"/>
        </w:rPr>
        <w:t>vo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zh-CN" w:bidi="ar-SA"/>
        </w:rPr>
        <w:t>.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en-US" w:eastAsia="zh-CN" w:bidi="ar-SA"/>
        </w:rPr>
        <w:t>tatarstan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zh-CN" w:bidi="ar-SA"/>
        </w:rPr>
        <w:t>.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en-US" w:eastAsia="zh-CN" w:bidi="ar-SA"/>
        </w:rPr>
        <w:t>ru), и его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zh-CN" w:bidi="ar-SA"/>
        </w:rPr>
        <w:t xml:space="preserve"> размещение на официальном сайте муниципального образования город Набережные Челны в информационно-телекоммуникационной сети  «Интернет» по адресу: (https://nabchelny.ru).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4. Контроль за исполнением настоящего постановления возложить на заместителя Руководителя Исполнительного комитета Салимханова И.А.</w:t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 xml:space="preserve">Руководитель </w:t>
      </w:r>
    </w:p>
    <w:p>
      <w:pPr>
        <w:sectPr>
          <w:type w:val="nextPage"/>
          <w:pgSz w:w="11906" w:h="16838"/>
          <w:pgMar w:left="1134" w:right="567" w:gutter="0" w:header="0" w:top="1134" w:footer="0" w:bottom="1077"/>
          <w:pgNumType w:fmt="decimal"/>
          <w:formProt w:val="false"/>
          <w:textDirection w:val="lrTb"/>
          <w:docGrid w:type="default" w:linePitch="360" w:charSpace="0"/>
        </w:sect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Исполнительного комитета                                                                     Ф.Ш. Салахов</w:t>
      </w:r>
    </w:p>
    <w:p>
      <w:pPr>
        <w:pStyle w:val="Heading1"/>
        <w:numPr>
          <w:ilvl w:val="0"/>
          <w:numId w:val="0"/>
        </w:numPr>
        <w:ind w:hanging="0" w:left="10375"/>
        <w:jc w:val="left"/>
        <w:rPr/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Приложение </w:t>
      </w:r>
    </w:p>
    <w:p>
      <w:pPr>
        <w:pStyle w:val="Heading1"/>
        <w:numPr>
          <w:ilvl w:val="0"/>
          <w:numId w:val="0"/>
        </w:numPr>
        <w:ind w:hanging="907" w:left="10828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 xml:space="preserve">к постановлению </w:t>
      </w:r>
    </w:p>
    <w:p>
      <w:pPr>
        <w:pStyle w:val="Heading1"/>
        <w:numPr>
          <w:ilvl w:val="0"/>
          <w:numId w:val="0"/>
        </w:numPr>
        <w:ind w:hanging="907" w:left="10828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>Исполнительного комитета</w:t>
      </w:r>
    </w:p>
    <w:p>
      <w:pPr>
        <w:pStyle w:val="Heading1"/>
        <w:numPr>
          <w:ilvl w:val="0"/>
          <w:numId w:val="0"/>
        </w:numPr>
        <w:ind w:hanging="907" w:left="10828"/>
        <w:jc w:val="left"/>
        <w:rPr/>
      </w:pPr>
      <w:r>
        <w:rPr>
          <w:b w:val="false"/>
          <w:sz w:val="28"/>
          <w:szCs w:val="28"/>
        </w:rPr>
        <w:t xml:space="preserve">         </w:t>
      </w:r>
      <w:r>
        <w:rPr>
          <w:b w:val="false"/>
          <w:sz w:val="28"/>
          <w:szCs w:val="28"/>
        </w:rPr>
        <w:t>от «__»_____ 2026 №____</w:t>
      </w:r>
    </w:p>
    <w:p>
      <w:pPr>
        <w:pStyle w:val="Heading1"/>
        <w:numPr>
          <w:ilvl w:val="0"/>
          <w:numId w:val="1"/>
        </w:numPr>
        <w:ind w:hanging="907" w:left="11622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Heading1"/>
        <w:numPr>
          <w:ilvl w:val="0"/>
          <w:numId w:val="1"/>
        </w:numPr>
        <w:ind w:left="84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Heading1"/>
        <w:numPr>
          <w:ilvl w:val="0"/>
          <w:numId w:val="1"/>
        </w:numPr>
        <w:ind w:left="840"/>
        <w:rPr/>
      </w:pPr>
      <w:r>
        <w:rPr>
          <w:b w:val="false"/>
          <w:sz w:val="28"/>
          <w:szCs w:val="28"/>
        </w:rPr>
        <w:t>Цели, задачи, индикаторы оценки результатов программы и финансирование по мероприятиям</w:t>
      </w:r>
    </w:p>
    <w:p>
      <w:pPr>
        <w:pStyle w:val="Normal"/>
        <w:ind w:right="158"/>
        <w:jc w:val="center"/>
        <w:rPr>
          <w:sz w:val="20"/>
          <w:szCs w:val="20"/>
        </w:rPr>
      </w:pPr>
      <w:r>
        <w:rPr/>
        <w:t xml:space="preserve">    </w:t>
      </w:r>
    </w:p>
    <w:tbl>
      <w:tblPr>
        <w:tblW w:w="15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98"/>
        <w:gridCol w:w="2800"/>
        <w:gridCol w:w="1537"/>
        <w:gridCol w:w="1477"/>
        <w:gridCol w:w="2376"/>
        <w:gridCol w:w="1184"/>
        <w:gridCol w:w="802"/>
        <w:gridCol w:w="820"/>
        <w:gridCol w:w="752"/>
        <w:gridCol w:w="916"/>
        <w:gridCol w:w="150"/>
        <w:gridCol w:w="971"/>
        <w:gridCol w:w="77"/>
        <w:gridCol w:w="1004"/>
      </w:tblGrid>
      <w:tr>
        <w:trPr>
          <w:trHeight w:val="901" w:hRule="atLeast"/>
        </w:trPr>
        <w:tc>
          <w:tcPr>
            <w:tcW w:w="3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с указанием источника финансирования (тыс.руб.)</w:t>
            </w:r>
          </w:p>
        </w:tc>
      </w:tr>
      <w:tr>
        <w:trPr>
          <w:trHeight w:val="928" w:hRule="atLeast"/>
        </w:trPr>
        <w:tc>
          <w:tcPr>
            <w:tcW w:w="36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>
        <w:trPr>
          <w:trHeight w:val="479" w:hRule="atLeast"/>
        </w:trPr>
        <w:tc>
          <w:tcPr>
            <w:tcW w:w="157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Цель: повышение защищенности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>
        <w:trPr>
          <w:trHeight w:val="479" w:hRule="atLeast"/>
        </w:trPr>
        <w:tc>
          <w:tcPr>
            <w:tcW w:w="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чрезвычайных ситуаций природного и техногенного характера с гибелью людей, ед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Муниципальный бюджет</w:t>
            </w:r>
          </w:p>
        </w:tc>
      </w:tr>
      <w:tr>
        <w:trPr>
          <w:trHeight w:val="245" w:hRule="atLeast"/>
        </w:trPr>
        <w:tc>
          <w:tcPr>
            <w:tcW w:w="157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и осуществление мероприятий по гражданской обороне, защите населения и территорий городского округа от чрезвычайных ситуаций                                                природного и техногенного характера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1.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лучшее защитное сооружение гражданской обороны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 –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278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лучшую учебно-материальную базу по гражданской обороне и чрезвычайным ситуациям объектов экономики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3.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Разработка плана основных мероприятий города Набережные Челны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декабрь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разработанного документа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4.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лучший учебно-консультационный пункт по гражданской обороне, созданный при управляющих компаниях города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организаций,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15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5.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образовательных организаций</w:t>
            </w:r>
          </w:p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индивидуальными средствами защиты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47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6.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дошкольных  образовательных организаций индивидуальными средствами защиты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635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7.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Подведение итогов выполнения задач в области гражданской обороны и защиты населения и территорий от чрезвычайных ситуаций природного и техногенного характера за отчетный год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мероприятий, ед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в образовательных организациях классных часов</w:t>
            </w:r>
          </w:p>
          <w:p>
            <w:pPr>
              <w:pStyle w:val="Normal"/>
              <w:widowControl w:val="false"/>
              <w:ind w:right="-1"/>
              <w:rPr/>
            </w:pPr>
            <w:hyperlink r:id="rId2" w:tgtFrame="_blank">
              <w:r>
                <w:rPr>
                  <w:rStyle w:val="Hyperlink"/>
                  <w:iCs/>
                  <w:color w:val="000000"/>
                  <w:sz w:val="20"/>
                  <w:szCs w:val="20"/>
                  <w:u w:val="none"/>
                </w:rPr>
                <w:t>«Безопасность на воде»</w:t>
              </w:r>
            </w:hyperlink>
          </w:p>
          <w:p>
            <w:pPr>
              <w:pStyle w:val="Normal"/>
              <w:widowControl w:val="false"/>
              <w:ind w:right="-1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охваченных детей,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68170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68180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68190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мероприятий по предупреждению и ликвидации чрезвычайных ситуаций в период весеннего половодья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апрель</w:t>
            </w:r>
          </w:p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обучения</w:t>
            </w:r>
          </w:p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спасателей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  <w:bookmarkStart w:id="0" w:name="_GoBack"/>
            <w:bookmarkEnd w:id="0"/>
          </w:p>
        </w:tc>
      </w:tr>
      <w:tr>
        <w:trPr>
          <w:trHeight w:val="479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Создание, оснащение и организация работы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общественных спасательных постов в организованных местах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массового отдыха населения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укомплектованность персоналом и необходимым оборудованием спасательных постов, %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2 539,04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7 626,00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3 100,00</w:t>
            </w:r>
          </w:p>
        </w:tc>
      </w:tr>
      <w:tr>
        <w:trPr>
          <w:trHeight w:val="479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несчастных случаев на водных объектах, ед.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0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2454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проведения расширенного заседания с владельцами и арендаторами пляжей (водопользователями) и комиссией по чрезвычайным ситуациям и пожарной безопасности на тему: «О готовности мест купания и массового отдыха населения в летний период»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/>
            </w:pPr>
            <w:r>
              <w:rPr>
                <w:iCs/>
                <w:sz w:val="20"/>
                <w:szCs w:val="20"/>
              </w:rPr>
              <w:t>2 549,04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7 636,00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3 110,00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Заместитель Руководителя Аппарата,</w:t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начальник управления делопроизводством</w:t>
      </w:r>
    </w:p>
    <w:p>
      <w:pPr>
        <w:pStyle w:val="ConsPlusNormal"/>
        <w:widowControl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Исполнительного комитета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077" w:right="1134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Sylfaen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98" w:hanging="39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6z0" w:customStyle="1">
    <w:name w:val="WW8Num16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/>
  </w:style>
  <w:style w:type="character" w:styleId="WW8Num25z0" w:customStyle="1">
    <w:name w:val="WW8Num25z0"/>
    <w:qFormat/>
    <w:rPr>
      <w:rFonts w:ascii="Times New Roman" w:hAnsi="Times New Roman" w:eastAsia="Times New Roman" w:cs="Times New Roman"/>
    </w:rPr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/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WW8Num36z0" w:customStyle="1">
    <w:name w:val="WW8Num36z0"/>
    <w:qFormat/>
    <w:rPr/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>
      <w:rFonts w:ascii="Times New Roman" w:hAnsi="Times New Roman" w:eastAsia="Times New Roman" w:cs="Times New Roman"/>
      <w:b/>
      <w:color w:val="000000"/>
    </w:rPr>
  </w:style>
  <w:style w:type="character" w:styleId="WW8Num39z0" w:customStyle="1">
    <w:name w:val="WW8Num39z0"/>
    <w:qFormat/>
    <w:rPr/>
  </w:style>
  <w:style w:type="character" w:styleId="WW8NumSt30z0" w:customStyle="1">
    <w:name w:val="WW8NumSt30z0"/>
    <w:qFormat/>
    <w:rPr>
      <w:rFonts w:ascii="Times New Roman" w:hAnsi="Times New Roman" w:cs="Times New Roman"/>
    </w:rPr>
  </w:style>
  <w:style w:type="character" w:styleId="WW8NumSt31z0" w:customStyle="1">
    <w:name w:val="WW8NumSt31z0"/>
    <w:qFormat/>
    <w:rPr>
      <w:rFonts w:ascii="Times New Roman" w:hAnsi="Times New Roman" w:cs="Times New Roman"/>
    </w:rPr>
  </w:style>
  <w:style w:type="character" w:styleId="WW8NumSt32z0" w:customStyle="1">
    <w:name w:val="WW8NumSt32z0"/>
    <w:qFormat/>
    <w:rPr>
      <w:rFonts w:ascii="Times New Roman" w:hAnsi="Times New Roman" w:cs="Times New Roman"/>
    </w:rPr>
  </w:style>
  <w:style w:type="character" w:styleId="WW8NumSt40z0" w:customStyle="1">
    <w:name w:val="WW8NumSt40z0"/>
    <w:qFormat/>
    <w:rPr>
      <w:rFonts w:ascii="Times New Roman" w:hAnsi="Times New Roman" w:cs="Times New Roman"/>
    </w:rPr>
  </w:style>
  <w:style w:type="character" w:styleId="WW8NumSt41z0" w:customStyle="1">
    <w:name w:val="WW8NumSt41z0"/>
    <w:qFormat/>
    <w:rPr>
      <w:rFonts w:ascii="Times New Roman" w:hAnsi="Times New Roman" w:cs="Times New Roman"/>
    </w:rPr>
  </w:style>
  <w:style w:type="character" w:styleId="WW8NumSt42z0" w:customStyle="1">
    <w:name w:val="WW8NumSt42z0"/>
    <w:qFormat/>
    <w:rPr>
      <w:rFonts w:ascii="Times New Roman" w:hAnsi="Times New Roman" w:cs="Times New Roman"/>
    </w:rPr>
  </w:style>
  <w:style w:type="character" w:styleId="WW8NumSt43z0" w:customStyle="1">
    <w:name w:val="WW8NumSt43z0"/>
    <w:qFormat/>
    <w:rPr>
      <w:rFonts w:ascii="Times New Roman" w:hAnsi="Times New Roman" w:cs="Times New Roman"/>
    </w:rPr>
  </w:style>
  <w:style w:type="character" w:styleId="WW8NumSt44z0" w:customStyle="1">
    <w:name w:val="WW8NumSt44z0"/>
    <w:qFormat/>
    <w:rPr>
      <w:rFonts w:ascii="Times New Roman" w:hAnsi="Times New Roman" w:cs="Times New Roman"/>
    </w:rPr>
  </w:style>
  <w:style w:type="character" w:styleId="WW8NumSt45z0" w:customStyle="1">
    <w:name w:val="WW8NumSt45z0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qFormat/>
    <w:rPr/>
  </w:style>
  <w:style w:type="character" w:styleId="2pt" w:customStyle="1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styleId="2" w:customStyle="1">
    <w:name w:val="Основной текст (2)_"/>
    <w:qFormat/>
    <w:rPr>
      <w:sz w:val="22"/>
      <w:szCs w:val="22"/>
      <w:shd w:fill="FFFFFF" w:val="clear"/>
    </w:rPr>
  </w:style>
  <w:style w:type="character" w:styleId="20pt" w:customStyle="1">
    <w:name w:val="Основной текст (2) + Интервал 0 pt"/>
    <w:qFormat/>
    <w:rPr>
      <w:spacing w:val="10"/>
      <w:sz w:val="21"/>
      <w:szCs w:val="21"/>
      <w:shd w:fill="FFFFFF" w:val="clear"/>
    </w:rPr>
  </w:style>
  <w:style w:type="character" w:styleId="Verdana" w:customStyle="1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styleId="5" w:customStyle="1">
    <w:name w:val="Основной текст (5)_"/>
    <w:qFormat/>
    <w:rPr>
      <w:rFonts w:ascii="Calibri" w:hAnsi="Calibri" w:cs="Calibri"/>
      <w:sz w:val="27"/>
      <w:szCs w:val="27"/>
      <w:shd w:fill="FFFFFF" w:val="clear"/>
    </w:rPr>
  </w:style>
  <w:style w:type="character" w:styleId="1" w:customStyle="1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sz w:val="26"/>
      <w:u w:val="none"/>
      <w:vertAlign w:val="baseline"/>
      <w:lang w:val="ru-RU"/>
    </w:rPr>
  </w:style>
  <w:style w:type="character" w:styleId="Exact" w:customStyle="1">
    <w:name w:val="Основной текст Exact"/>
    <w:qFormat/>
    <w:rPr>
      <w:rFonts w:ascii="Times New Roman" w:hAnsi="Times New Roman" w:cs="Times New Roman"/>
      <w:u w:val="none"/>
    </w:rPr>
  </w:style>
  <w:style w:type="character" w:styleId="Style12" w:customStyle="1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 w:val="27"/>
      <w:szCs w:val="27"/>
      <w:u w:val="none"/>
      <w:shd w:fill="FFFFFF" w:val="clear"/>
      <w:vertAlign w:val="baseline"/>
      <w:lang w:val="ru-RU"/>
    </w:rPr>
  </w:style>
  <w:style w:type="character" w:styleId="21" w:customStyle="1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 w:val="26"/>
      <w:szCs w:val="26"/>
      <w:u w:val="none"/>
      <w:shd w:fill="FFFFFF" w:val="clear"/>
      <w:vertAlign w:val="baseline"/>
      <w:lang w:val="ru-RU"/>
    </w:rPr>
  </w:style>
  <w:style w:type="character" w:styleId="Style13" w:customStyle="1">
    <w:name w:val="Верхний колонтитул Знак"/>
    <w:qFormat/>
    <w:rPr>
      <w:sz w:val="24"/>
      <w:szCs w:val="24"/>
    </w:rPr>
  </w:style>
  <w:style w:type="character" w:styleId="Style14" w:customStyle="1">
    <w:name w:val="Основной текст_"/>
    <w:qFormat/>
    <w:rPr>
      <w:spacing w:val="10"/>
      <w:sz w:val="26"/>
      <w:szCs w:val="26"/>
      <w:shd w:fill="FFFFFF" w:val="clear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2"/>
      <w:szCs w:val="22"/>
    </w:rPr>
  </w:style>
  <w:style w:type="character" w:styleId="FontStyle83" w:customStyle="1">
    <w:name w:val="Font Style83"/>
    <w:qFormat/>
    <w:rPr>
      <w:rFonts w:ascii="Times New Roman" w:hAnsi="Times New Roman" w:cs="Times New Roman"/>
      <w:sz w:val="16"/>
      <w:szCs w:val="16"/>
    </w:rPr>
  </w:style>
  <w:style w:type="character" w:styleId="FontStyle84" w:customStyle="1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85" w:customStyle="1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ntStyle14" w:customStyle="1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11" w:customStyle="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styleId="FontStyle12" w:customStyle="1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styleId="FontStyle13" w:customStyle="1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7" w:customStyle="1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Style1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color w:val="000000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22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240" w:before="60" w:after="420"/>
      <w:jc w:val="center"/>
    </w:pPr>
    <w:rPr>
      <w:sz w:val="22"/>
      <w:szCs w:val="22"/>
    </w:rPr>
  </w:style>
  <w:style w:type="paragraph" w:styleId="51" w:customStyle="1">
    <w:name w:val="Основной текст (5)"/>
    <w:basedOn w:val="Normal"/>
    <w:qFormat/>
    <w:pPr>
      <w:widowControl w:val="false"/>
      <w:shd w:val="clear" w:color="auto" w:fill="FFFFFF"/>
      <w:spacing w:lineRule="exact" w:line="341" w:before="420" w:after="300"/>
      <w:ind w:hanging="1840"/>
    </w:pPr>
    <w:rPr>
      <w:rFonts w:ascii="Calibri" w:hAnsi="Calibri" w:cs="Calibri"/>
      <w:sz w:val="27"/>
      <w:szCs w:val="27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Основной текст12"/>
    <w:basedOn w:val="Normal"/>
    <w:qFormat/>
    <w:pPr>
      <w:shd w:val="clear" w:color="auto" w:fill="FFFFFF"/>
      <w:spacing w:lineRule="atLeast" w:line="240" w:before="360" w:after="900"/>
      <w:ind w:firstLine="697" w:left="23" w:right="40"/>
      <w:jc w:val="both"/>
    </w:pPr>
    <w:rPr>
      <w:spacing w:val="10"/>
      <w:sz w:val="26"/>
      <w:szCs w:val="26"/>
    </w:rPr>
  </w:style>
  <w:style w:type="paragraph" w:styleId="Style61" w:customStyle="1">
    <w:name w:val="Style6"/>
    <w:basedOn w:val="Normal"/>
    <w:qFormat/>
    <w:pPr>
      <w:widowControl w:val="false"/>
      <w:spacing w:lineRule="exact" w:line="274"/>
      <w:ind w:firstLine="418"/>
      <w:jc w:val="both"/>
    </w:pPr>
    <w:rPr/>
  </w:style>
  <w:style w:type="paragraph" w:styleId="3" w:customStyle="1">
    <w:name w:val="Знак Знак3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1" w:customStyle="1">
    <w:name w:val="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91" w:customStyle="1">
    <w:name w:val="Style9"/>
    <w:basedOn w:val="Normal"/>
    <w:qFormat/>
    <w:pPr>
      <w:widowControl w:val="false"/>
      <w:spacing w:lineRule="exact" w:line="216"/>
      <w:jc w:val="both"/>
    </w:pPr>
    <w:rPr/>
  </w:style>
  <w:style w:type="paragraph" w:styleId="Style22" w:customStyle="1">
    <w:name w:val="Style22"/>
    <w:basedOn w:val="Normal"/>
    <w:qFormat/>
    <w:pPr>
      <w:widowControl w:val="false"/>
      <w:spacing w:lineRule="exact" w:line="218"/>
      <w:ind w:firstLine="461"/>
      <w:jc w:val="both"/>
    </w:pPr>
    <w:rPr/>
  </w:style>
  <w:style w:type="paragraph" w:styleId="23" w:customStyle="1">
    <w:name w:val="Знак 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Formattexttopleveltext" w:customStyle="1">
    <w:name w:val="formattext topleveltext"/>
    <w:basedOn w:val="Normal"/>
    <w:qFormat/>
    <w:pPr>
      <w:spacing w:before="280" w:after="280"/>
    </w:pPr>
    <w:rPr/>
  </w:style>
  <w:style w:type="paragraph" w:styleId="Style81" w:customStyle="1">
    <w:name w:val="Style8"/>
    <w:basedOn w:val="Normal"/>
    <w:qFormat/>
    <w:pPr>
      <w:widowControl w:val="false"/>
      <w:spacing w:lineRule="exact" w:line="310"/>
      <w:jc w:val="both"/>
    </w:pPr>
    <w:rPr/>
  </w:style>
  <w:style w:type="paragraph" w:styleId="Style21" w:customStyle="1">
    <w:name w:val="Style2"/>
    <w:basedOn w:val="Normal"/>
    <w:qFormat/>
    <w:pPr>
      <w:widowControl w:val="false"/>
      <w:spacing w:lineRule="exact" w:line="307"/>
      <w:jc w:val="both"/>
    </w:pPr>
    <w:rPr/>
  </w:style>
  <w:style w:type="paragraph" w:styleId="Style31" w:customStyle="1">
    <w:name w:val="Style3"/>
    <w:basedOn w:val="Normal"/>
    <w:qFormat/>
    <w:pPr>
      <w:widowControl w:val="false"/>
      <w:spacing w:lineRule="exact" w:line="305"/>
      <w:ind w:firstLine="485"/>
    </w:pPr>
    <w:rPr/>
  </w:style>
  <w:style w:type="paragraph" w:styleId="Style18" w:customStyle="1">
    <w:name w:val="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9" w:customStyle="1">
    <w:name w:val="Style1"/>
    <w:basedOn w:val="Normal"/>
    <w:qFormat/>
    <w:pPr>
      <w:widowControl w:val="false"/>
      <w:spacing w:lineRule="exact" w:line="221"/>
      <w:ind w:firstLine="486"/>
      <w:jc w:val="both"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LibreOffice/7.6.7.2$Linux_X86_64 LibreOffice_project/60$Build-2</Application>
  <AppVersion>15.0000</AppVersion>
  <Pages>5</Pages>
  <Words>1075</Words>
  <Characters>7436</Characters>
  <CharactersWithSpaces>8584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2025-07-18T11:48:00Z</dcterms:created>
  <dc:creator>1</dc:creator>
  <dc:description/>
  <dc:language>ru-RU</dc:language>
  <cp:lastModifiedBy/>
  <cp:lastPrinted>2025-07-15T11:53:00Z</cp:lastPrinted>
  <dcterms:modified xsi:type="dcterms:W3CDTF">2026-02-25T11:10:57Z</dcterms:modified>
  <cp:revision>8</cp:revision>
  <dc:subject/>
  <dc:title>МУНИЦИПАЛЬНАЯ ЦЕЛЕВАЯ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