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B9" w:rsidRDefault="00747ADF">
      <w:pPr>
        <w:spacing w:after="0" w:line="240" w:lineRule="auto"/>
        <w:ind w:firstLine="72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ПОСТАНОВЛЕНИЯ</w:t>
      </w:r>
    </w:p>
    <w:p w:rsidR="00F904B9" w:rsidRDefault="00F904B9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</w:rPr>
      </w:pPr>
    </w:p>
    <w:p w:rsidR="00F904B9" w:rsidRDefault="00747ADF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Исполнительного комитета от 31.10.2023 № 10494 «Об утверждении муниципальной программы «Развитие территориального общественного самоуправления города Набережные Челны на 2024-2026 годы»</w:t>
      </w:r>
    </w:p>
    <w:p w:rsidR="00F904B9" w:rsidRDefault="00F904B9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</w:rPr>
      </w:pPr>
    </w:p>
    <w:p w:rsidR="00F904B9" w:rsidRDefault="00F904B9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</w:rPr>
      </w:pPr>
    </w:p>
    <w:p w:rsidR="00F904B9" w:rsidRDefault="00F904B9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F904B9" w:rsidRDefault="00747ADF">
      <w:pPr>
        <w:spacing w:line="240" w:lineRule="auto"/>
        <w:ind w:firstLine="720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соответствии с</w:t>
      </w:r>
      <w:r w:rsidR="00A5183D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ешением Городского Совета от 23.06.2025 № 44/4 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 xml:space="preserve">«О внесении изменений в </w:t>
      </w:r>
      <w:r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Решение Городского Совета от 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>06.12.2024 № 39/4 «О бюджете муниципального образования город Набережные Челны на 2025 год и плановый период 2026 и 2027 годов»</w:t>
      </w:r>
      <w:r w:rsidR="009774F0"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>,</w:t>
      </w:r>
      <w:r w:rsidR="009774F0">
        <w:rPr>
          <w:rFonts w:ascii="Times New Roman" w:hAnsi="Times New Roman" w:cs="Times New Roman"/>
          <w:sz w:val="26"/>
          <w:szCs w:val="26"/>
        </w:rPr>
        <w:t xml:space="preserve"> пунктом 5.24 Положения о системе муниципальных правовых актов, утвержденного решением Городского Совета от 21.02.2007 № 19/8</w:t>
      </w:r>
    </w:p>
    <w:p w:rsidR="00F904B9" w:rsidRDefault="00747ADF">
      <w:pPr>
        <w:spacing w:line="240" w:lineRule="auto"/>
        <w:ind w:firstLine="72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Л Я Ю:</w:t>
      </w:r>
    </w:p>
    <w:p w:rsidR="00F904B9" w:rsidRDefault="00747ADF">
      <w:pPr>
        <w:pStyle w:val="af6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t>Внести в постановление Исполнительного комитета от 31.10.2023 № 10494 «Об утверждении муниципальной программы «Развитие территориального общественного самоуправления города Набережные Челны на 2024-2026 годы» (в редакции постановлений Исполнительного комитета от 22.02.2024 №</w:t>
      </w:r>
      <w:r w:rsidR="00A5183D">
        <w:rPr>
          <w:rFonts w:ascii="Times New Roman" w:eastAsiaTheme="minorHAnsi" w:hAnsi="Times New Roman" w:cstheme="minorBidi"/>
          <w:sz w:val="26"/>
          <w:szCs w:val="26"/>
        </w:rPr>
        <w:t xml:space="preserve"> </w:t>
      </w:r>
      <w:r>
        <w:rPr>
          <w:rFonts w:ascii="Times New Roman" w:eastAsiaTheme="minorHAnsi" w:hAnsi="Times New Roman" w:cstheme="minorBidi"/>
          <w:sz w:val="26"/>
          <w:szCs w:val="26"/>
        </w:rPr>
        <w:t>1142, от 05.09.2024 №</w:t>
      </w:r>
      <w:r w:rsidR="00A5183D">
        <w:rPr>
          <w:rFonts w:ascii="Times New Roman" w:eastAsiaTheme="minorHAnsi" w:hAnsi="Times New Roman" w:cstheme="minorBidi"/>
          <w:sz w:val="26"/>
          <w:szCs w:val="26"/>
        </w:rPr>
        <w:t xml:space="preserve"> </w:t>
      </w:r>
      <w:r>
        <w:rPr>
          <w:rFonts w:ascii="Times New Roman" w:eastAsiaTheme="minorHAnsi" w:hAnsi="Times New Roman" w:cstheme="minorBidi"/>
          <w:sz w:val="26"/>
          <w:szCs w:val="26"/>
        </w:rPr>
        <w:t>5721, от 13.03.2025 № 1932</w:t>
      </w:r>
      <w:r w:rsidR="00A022D9">
        <w:rPr>
          <w:rFonts w:ascii="Times New Roman" w:eastAsiaTheme="minorHAnsi" w:hAnsi="Times New Roman" w:cstheme="minorBidi"/>
          <w:sz w:val="26"/>
          <w:szCs w:val="26"/>
        </w:rPr>
        <w:t>, от 16.10.2025 №</w:t>
      </w:r>
      <w:r w:rsidR="00A5183D">
        <w:rPr>
          <w:rFonts w:ascii="Times New Roman" w:eastAsiaTheme="minorHAnsi" w:hAnsi="Times New Roman" w:cstheme="minorBidi"/>
          <w:sz w:val="26"/>
          <w:szCs w:val="26"/>
        </w:rPr>
        <w:t xml:space="preserve"> </w:t>
      </w:r>
      <w:r w:rsidR="00A022D9">
        <w:rPr>
          <w:rFonts w:ascii="Times New Roman" w:eastAsiaTheme="minorHAnsi" w:hAnsi="Times New Roman" w:cstheme="minorBidi"/>
          <w:sz w:val="26"/>
          <w:szCs w:val="26"/>
        </w:rPr>
        <w:t>8372</w:t>
      </w:r>
      <w:r>
        <w:rPr>
          <w:rFonts w:ascii="Times New Roman" w:eastAsiaTheme="minorHAnsi" w:hAnsi="Times New Roman" w:cstheme="minorBidi"/>
          <w:sz w:val="26"/>
          <w:szCs w:val="26"/>
        </w:rPr>
        <w:t>) следующие изменения:</w:t>
      </w:r>
    </w:p>
    <w:p w:rsidR="00F904B9" w:rsidRDefault="00747ADF">
      <w:pPr>
        <w:pStyle w:val="af6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t>пункт 2 изложить в новой редакции:</w:t>
      </w:r>
    </w:p>
    <w:p w:rsidR="00F904B9" w:rsidRDefault="00747ADF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муниципальной программы «Развитие территориального общественного самоуправления города Набережные Челны на 2024-2026 годы» за счет средств бюдж</w:t>
      </w:r>
      <w:r w:rsidR="008C7D27">
        <w:rPr>
          <w:rFonts w:ascii="Times New Roman" w:hAnsi="Times New Roman"/>
          <w:sz w:val="26"/>
          <w:szCs w:val="26"/>
        </w:rPr>
        <w:t>ета города в размере 10</w:t>
      </w:r>
      <w:r>
        <w:rPr>
          <w:rFonts w:ascii="Times New Roman" w:hAnsi="Times New Roman"/>
          <w:sz w:val="26"/>
          <w:szCs w:val="26"/>
        </w:rPr>
        <w:t xml:space="preserve">7 </w:t>
      </w:r>
      <w:r w:rsidR="008C7D27">
        <w:rPr>
          <w:rFonts w:ascii="Times New Roman" w:hAnsi="Times New Roman"/>
          <w:sz w:val="26"/>
          <w:szCs w:val="26"/>
        </w:rPr>
        <w:t>130</w:t>
      </w:r>
      <w:r>
        <w:rPr>
          <w:rFonts w:ascii="Times New Roman" w:hAnsi="Times New Roman"/>
          <w:sz w:val="26"/>
          <w:szCs w:val="26"/>
        </w:rPr>
        <w:t>,</w:t>
      </w:r>
      <w:r w:rsidR="008C7D27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2 тыс. рублей: 2024 год </w:t>
      </w:r>
      <w:r w:rsidR="00A5183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38 606,40 тыс. рублей, 2025 год – </w:t>
      </w:r>
      <w:r w:rsidR="008C7D27">
        <w:rPr>
          <w:rFonts w:ascii="Times New Roman" w:hAnsi="Times New Roman"/>
          <w:sz w:val="26"/>
          <w:szCs w:val="26"/>
        </w:rPr>
        <w:t>37 9</w:t>
      </w:r>
      <w:r>
        <w:rPr>
          <w:rFonts w:ascii="Times New Roman" w:hAnsi="Times New Roman"/>
          <w:sz w:val="26"/>
          <w:szCs w:val="26"/>
        </w:rPr>
        <w:t xml:space="preserve">39,83 тыс. рублей, 2026 год – </w:t>
      </w:r>
      <w:r w:rsidR="008C7D27">
        <w:rPr>
          <w:rFonts w:ascii="Times New Roman" w:hAnsi="Times New Roman"/>
          <w:sz w:val="26"/>
          <w:szCs w:val="26"/>
        </w:rPr>
        <w:t xml:space="preserve">30 </w:t>
      </w:r>
      <w:r>
        <w:rPr>
          <w:rFonts w:ascii="Times New Roman" w:hAnsi="Times New Roman"/>
          <w:sz w:val="26"/>
          <w:szCs w:val="26"/>
        </w:rPr>
        <w:t>5</w:t>
      </w:r>
      <w:r w:rsidR="008C7D27">
        <w:rPr>
          <w:rFonts w:ascii="Times New Roman" w:hAnsi="Times New Roman"/>
          <w:sz w:val="26"/>
          <w:szCs w:val="26"/>
        </w:rPr>
        <w:t>84</w:t>
      </w:r>
      <w:r>
        <w:rPr>
          <w:rFonts w:ascii="Times New Roman" w:hAnsi="Times New Roman"/>
          <w:sz w:val="26"/>
          <w:szCs w:val="26"/>
        </w:rPr>
        <w:t>,</w:t>
      </w:r>
      <w:r w:rsidR="008C7D27">
        <w:rPr>
          <w:rFonts w:ascii="Times New Roman" w:hAnsi="Times New Roman"/>
          <w:sz w:val="26"/>
          <w:szCs w:val="26"/>
        </w:rPr>
        <w:t>49</w:t>
      </w:r>
      <w:r>
        <w:rPr>
          <w:rFonts w:ascii="Times New Roman" w:hAnsi="Times New Roman"/>
          <w:sz w:val="26"/>
          <w:szCs w:val="26"/>
        </w:rPr>
        <w:t xml:space="preserve"> тыс. рублей.»;</w:t>
      </w:r>
    </w:p>
    <w:p w:rsidR="00F904B9" w:rsidRDefault="00747ADF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приложение изложить в новой редакции согласно приложению. </w:t>
      </w:r>
    </w:p>
    <w:p w:rsidR="00F904B9" w:rsidRDefault="00747ADF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Управлению делопроизводством Исполнительного комитета обеспечить </w:t>
      </w:r>
      <w:r w:rsidR="00D801E3">
        <w:rPr>
          <w:rFonts w:ascii="Times New Roman" w:hAnsi="Times New Roman"/>
          <w:sz w:val="26"/>
          <w:szCs w:val="26"/>
        </w:rPr>
        <w:t>размещение настоящего</w:t>
      </w:r>
      <w:r>
        <w:rPr>
          <w:rFonts w:ascii="Times New Roman" w:hAnsi="Times New Roman"/>
          <w:sz w:val="26"/>
          <w:szCs w:val="26"/>
        </w:rPr>
        <w:t xml:space="preserve"> постановления</w:t>
      </w:r>
      <w:r w:rsidR="00D801E3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</w:t>
      </w:r>
      <w:r w:rsidR="00D801E3">
        <w:rPr>
          <w:rFonts w:ascii="Times New Roman" w:hAnsi="Times New Roman"/>
          <w:sz w:val="26"/>
          <w:szCs w:val="26"/>
        </w:rPr>
        <w:t xml:space="preserve">сети «Интернет» </w:t>
      </w:r>
      <w:r w:rsidR="00E1741D">
        <w:rPr>
          <w:rFonts w:ascii="Times New Roman" w:hAnsi="Times New Roman"/>
          <w:sz w:val="26"/>
          <w:szCs w:val="26"/>
        </w:rPr>
        <w:t xml:space="preserve">на официальном портале правовой информации Республики Татарстан (https://pravo.tatarstan.ru) </w:t>
      </w:r>
      <w:r>
        <w:rPr>
          <w:rFonts w:ascii="Times New Roman" w:hAnsi="Times New Roman"/>
          <w:sz w:val="26"/>
          <w:szCs w:val="26"/>
        </w:rPr>
        <w:t xml:space="preserve">и </w:t>
      </w:r>
      <w:r w:rsidR="00E1741D">
        <w:rPr>
          <w:rFonts w:ascii="Times New Roman" w:hAnsi="Times New Roman"/>
          <w:sz w:val="26"/>
          <w:szCs w:val="26"/>
        </w:rPr>
        <w:t>на официальном сайте город</w:t>
      </w:r>
      <w:r w:rsidR="00D801E3">
        <w:rPr>
          <w:rFonts w:ascii="Times New Roman" w:hAnsi="Times New Roman"/>
          <w:sz w:val="26"/>
          <w:szCs w:val="26"/>
        </w:rPr>
        <w:t>а</w:t>
      </w:r>
      <w:r w:rsidR="00E1741D">
        <w:rPr>
          <w:rFonts w:ascii="Times New Roman" w:hAnsi="Times New Roman"/>
          <w:sz w:val="26"/>
          <w:szCs w:val="26"/>
        </w:rPr>
        <w:t xml:space="preserve"> Набережные Челны</w:t>
      </w:r>
      <w:r>
        <w:rPr>
          <w:rFonts w:ascii="Times New Roman" w:hAnsi="Times New Roman"/>
          <w:sz w:val="26"/>
          <w:szCs w:val="26"/>
        </w:rPr>
        <w:t>.</w:t>
      </w:r>
    </w:p>
    <w:p w:rsidR="00F904B9" w:rsidRDefault="00747ADF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</w:t>
      </w:r>
      <w:proofErr w:type="spellStart"/>
      <w:r>
        <w:rPr>
          <w:rFonts w:ascii="Times New Roman" w:hAnsi="Times New Roman"/>
          <w:sz w:val="26"/>
          <w:szCs w:val="26"/>
        </w:rPr>
        <w:t>Вильданова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Р.Ф., Главу администрации Комсомольского района Исполнительного комитета </w:t>
      </w:r>
      <w:proofErr w:type="spellStart"/>
      <w:r>
        <w:rPr>
          <w:rFonts w:ascii="Times New Roman" w:hAnsi="Times New Roman"/>
          <w:sz w:val="26"/>
          <w:szCs w:val="26"/>
        </w:rPr>
        <w:t>Ахметзянова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Л.И., Главу администрации Центрального района Исполнительного комитета Хабибуллина Ф.Ф., Главу администрации Автозаводского района Исполнительного комитета </w:t>
      </w:r>
      <w:proofErr w:type="spellStart"/>
      <w:r>
        <w:rPr>
          <w:rFonts w:ascii="Times New Roman" w:hAnsi="Times New Roman"/>
          <w:sz w:val="26"/>
          <w:szCs w:val="26"/>
        </w:rPr>
        <w:t>Хуснуллина</w:t>
      </w:r>
      <w:proofErr w:type="spellEnd"/>
      <w:r>
        <w:rPr>
          <w:rFonts w:ascii="Times New Roman" w:hAnsi="Times New Roman"/>
          <w:sz w:val="26"/>
          <w:szCs w:val="26"/>
        </w:rPr>
        <w:t xml:space="preserve"> А.Ш.</w:t>
      </w:r>
    </w:p>
    <w:p w:rsidR="00F904B9" w:rsidRDefault="00F9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04B9" w:rsidRDefault="00F9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04B9" w:rsidRDefault="00F9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04B9" w:rsidRDefault="00747AD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 w:rsidR="00F904B9" w:rsidRDefault="00747ADF">
      <w:pPr>
        <w:spacing w:after="0" w:line="240" w:lineRule="auto"/>
        <w:jc w:val="both"/>
        <w:rPr>
          <w:sz w:val="26"/>
          <w:szCs w:val="26"/>
        </w:rPr>
        <w:sectPr w:rsidR="00F904B9">
          <w:pgSz w:w="11906" w:h="16838"/>
          <w:pgMar w:top="885" w:right="1121" w:bottom="1134" w:left="1140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sz w:val="26"/>
          <w:szCs w:val="26"/>
        </w:rPr>
        <w:t>Исполнительного комитета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="00E1741D" w:rsidRPr="00E1741D">
        <w:rPr>
          <w:rFonts w:ascii="Times New Roman" w:hAnsi="Times New Roman"/>
          <w:sz w:val="26"/>
          <w:szCs w:val="26"/>
        </w:rPr>
        <w:t xml:space="preserve">     </w:t>
      </w:r>
      <w:r w:rsidR="00E1741D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Ф.Ш. Салахов</w:t>
      </w:r>
    </w:p>
    <w:p w:rsidR="00F904B9" w:rsidRDefault="00747ADF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904B9" w:rsidRDefault="00747ADF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F904B9" w:rsidRDefault="00747ADF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F904B9" w:rsidRDefault="00A022D9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«_____» ______2026</w:t>
      </w:r>
      <w:r w:rsidR="00747ADF">
        <w:rPr>
          <w:rFonts w:ascii="Times New Roman" w:hAnsi="Times New Roman" w:cs="Times New Roman"/>
          <w:sz w:val="26"/>
          <w:szCs w:val="26"/>
        </w:rPr>
        <w:t xml:space="preserve"> №_____</w:t>
      </w:r>
    </w:p>
    <w:p w:rsidR="00F904B9" w:rsidRDefault="00F904B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F904B9" w:rsidRDefault="00CE5310">
      <w:pPr>
        <w:spacing w:after="0" w:line="240" w:lineRule="auto"/>
        <w:ind w:left="5387" w:right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47ADF">
        <w:rPr>
          <w:rFonts w:ascii="Times New Roman" w:hAnsi="Times New Roman" w:cs="Times New Roman"/>
          <w:sz w:val="26"/>
          <w:szCs w:val="26"/>
        </w:rPr>
        <w:t>Приложение</w:t>
      </w:r>
    </w:p>
    <w:p w:rsidR="00F904B9" w:rsidRDefault="00747ADF">
      <w:pPr>
        <w:spacing w:after="0" w:line="240" w:lineRule="auto"/>
        <w:ind w:left="5387" w:right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F904B9" w:rsidRDefault="00747ADF">
      <w:pPr>
        <w:spacing w:after="0" w:line="240" w:lineRule="auto"/>
        <w:ind w:left="5387" w:right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 от 31.10.2023 №10494</w:t>
      </w:r>
      <w:bookmarkStart w:id="0" w:name="_GoBack"/>
      <w:bookmarkEnd w:id="0"/>
    </w:p>
    <w:p w:rsidR="00F904B9" w:rsidRDefault="00F904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4B9" w:rsidRDefault="00F904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4B9" w:rsidRDefault="00F904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4B9" w:rsidRDefault="00747A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1. Паспорт муниципальной 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программы </w:t>
      </w:r>
    </w:p>
    <w:p w:rsidR="00F904B9" w:rsidRDefault="00747A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территориального общественного самоуправления города Набережные Челны на 2024-2026 годы»</w:t>
      </w:r>
    </w:p>
    <w:p w:rsidR="00F904B9" w:rsidRDefault="00F90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127"/>
        <w:gridCol w:w="1275"/>
        <w:gridCol w:w="1276"/>
        <w:gridCol w:w="1418"/>
        <w:gridCol w:w="1416"/>
      </w:tblGrid>
      <w:tr w:rsidR="00F904B9" w:rsidTr="008C7D27">
        <w:trPr>
          <w:cantSplit/>
          <w:trHeight w:val="104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32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</w:p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территориального общественного самоуправления города Набережные Челны на 2024</w:t>
            </w:r>
            <w:r w:rsidR="00A5183D">
              <w:rPr>
                <w:rFonts w:ascii="Times New Roman" w:hAnsi="Times New Roman" w:cs="Times New Roman"/>
                <w:sz w:val="26"/>
                <w:szCs w:val="26"/>
              </w:rPr>
              <w:t>-2026 годы» (далее - программа)</w:t>
            </w:r>
          </w:p>
        </w:tc>
      </w:tr>
      <w:tr w:rsidR="00F904B9" w:rsidTr="008C7D27">
        <w:trPr>
          <w:cantSplit/>
          <w:trHeight w:val="296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для разработки программы </w:t>
            </w:r>
          </w:p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(наименование, номер и дата правового акта)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06.10.2003 № 131-ФЗ «Об общих принципах организации местного самоуправления                                     в Российской Федерации», Устав города, утвержденный решением Городского Совета муниципального образования город Набережные Челны от 08.12.2005 № 6/5, Порядок организации и осуществления территориального общественного самоуправления в городе Набережные Челны, утвержденный решением Городского Совета от 17.04.2014 № 30/18</w:t>
            </w:r>
          </w:p>
        </w:tc>
      </w:tr>
      <w:tr w:rsidR="00F904B9" w:rsidTr="008C7D27">
        <w:trPr>
          <w:cantSplit/>
          <w:trHeight w:val="1117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Основные разработчики программы 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 w:rsidR="00F904B9" w:rsidRDefault="00747ADF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  <w:p w:rsidR="00F904B9" w:rsidRDefault="00F904B9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4B9" w:rsidTr="008C7D27">
        <w:trPr>
          <w:cantSplit/>
          <w:trHeight w:val="203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программы 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 w:rsidR="00F904B9" w:rsidRDefault="00747ADF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  <w:p w:rsidR="00F904B9" w:rsidRDefault="00F904B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4B9" w:rsidTr="008C7D27">
        <w:trPr>
          <w:cantSplit/>
          <w:trHeight w:val="833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благоприятных условий для устойчивого функционирования и развития территориального общественного самоуправления (далее - ТОС)</w:t>
            </w:r>
          </w:p>
        </w:tc>
      </w:tr>
      <w:tr w:rsidR="00F904B9" w:rsidTr="008C7D27">
        <w:trPr>
          <w:cantSplit/>
          <w:trHeight w:val="172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353"/>
              </w:tabs>
              <w:spacing w:after="0" w:line="240" w:lineRule="auto"/>
              <w:ind w:left="70" w:hanging="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Вовлечение населения г. Набережные Челны в процесс развития ТОС для эффективного решения вопросов местного значения.</w:t>
            </w:r>
          </w:p>
          <w:p w:rsidR="00F904B9" w:rsidRDefault="00747ADF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353"/>
              </w:tabs>
              <w:spacing w:after="0" w:line="240" w:lineRule="auto"/>
              <w:ind w:left="70" w:hanging="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населения.</w:t>
            </w:r>
          </w:p>
          <w:p w:rsidR="00F904B9" w:rsidRDefault="00747ADF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353"/>
              </w:tabs>
              <w:spacing w:after="0" w:line="240" w:lineRule="auto"/>
              <w:ind w:left="70" w:hanging="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условий для повышения качества деятельности организаций ТОС </w:t>
            </w:r>
          </w:p>
        </w:tc>
      </w:tr>
      <w:tr w:rsidR="00F904B9" w:rsidTr="008C7D27">
        <w:trPr>
          <w:cantSplit/>
          <w:trHeight w:val="737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9774F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2024-2026 годы:</w:t>
            </w:r>
          </w:p>
          <w:p w:rsidR="00F904B9" w:rsidRDefault="00747AD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 этап – 2024 год;</w:t>
            </w:r>
          </w:p>
          <w:p w:rsidR="00F904B9" w:rsidRDefault="00747AD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 этап – 2025 год;</w:t>
            </w:r>
          </w:p>
          <w:p w:rsidR="00F904B9" w:rsidRDefault="00A5183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- 3 этап – 2026 год</w:t>
            </w:r>
          </w:p>
        </w:tc>
      </w:tr>
      <w:tr w:rsidR="00F904B9" w:rsidTr="00CA2E91">
        <w:trPr>
          <w:cantSplit/>
          <w:trHeight w:val="233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5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Годы реализации программы</w:t>
            </w:r>
          </w:p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(тыс. рублей)</w:t>
            </w:r>
          </w:p>
        </w:tc>
      </w:tr>
      <w:tr w:rsidR="00F904B9" w:rsidTr="00CA2E91">
        <w:trPr>
          <w:cantSplit/>
          <w:trHeight w:val="688"/>
          <w:jc w:val="center"/>
        </w:trPr>
        <w:tc>
          <w:tcPr>
            <w:tcW w:w="2260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F904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период реализации</w:t>
            </w:r>
          </w:p>
        </w:tc>
      </w:tr>
      <w:tr w:rsidR="00F904B9" w:rsidTr="00CA2E91">
        <w:trPr>
          <w:cantSplit/>
          <w:trHeight w:val="160"/>
          <w:jc w:val="center"/>
        </w:trPr>
        <w:tc>
          <w:tcPr>
            <w:tcW w:w="226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5 500,00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0E56C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47ADF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CA2E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47A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04B9" w:rsidTr="00CA2E91">
        <w:trPr>
          <w:cantSplit/>
          <w:trHeight w:val="160"/>
          <w:jc w:val="center"/>
        </w:trPr>
        <w:tc>
          <w:tcPr>
            <w:tcW w:w="2260" w:type="dxa"/>
            <w:tcBorders>
              <w:left w:val="single" w:sz="6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904B9" w:rsidTr="00CA2E91">
        <w:trPr>
          <w:cantSplit/>
          <w:trHeight w:val="160"/>
          <w:jc w:val="center"/>
        </w:trPr>
        <w:tc>
          <w:tcPr>
            <w:tcW w:w="2260" w:type="dxa"/>
            <w:tcBorders>
              <w:left w:val="single" w:sz="6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38 106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37 939,83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8C7D27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25 084,49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0E56C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</w:t>
            </w:r>
            <w:r w:rsidR="00CA2E91">
              <w:rPr>
                <w:rFonts w:ascii="Times New Roman" w:hAnsi="Times New Roman"/>
                <w:sz w:val="26"/>
                <w:szCs w:val="26"/>
              </w:rPr>
              <w:t xml:space="preserve"> 130,72</w:t>
            </w:r>
          </w:p>
        </w:tc>
      </w:tr>
      <w:tr w:rsidR="00F904B9" w:rsidTr="00CA2E91">
        <w:trPr>
          <w:cantSplit/>
          <w:trHeight w:val="160"/>
          <w:jc w:val="center"/>
        </w:trPr>
        <w:tc>
          <w:tcPr>
            <w:tcW w:w="2260" w:type="dxa"/>
            <w:tcBorders>
              <w:left w:val="single" w:sz="6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904B9" w:rsidTr="00CA2E91">
        <w:trPr>
          <w:cantSplit/>
          <w:trHeight w:val="160"/>
          <w:jc w:val="center"/>
        </w:trPr>
        <w:tc>
          <w:tcPr>
            <w:tcW w:w="2260" w:type="dxa"/>
            <w:tcBorders>
              <w:left w:val="single" w:sz="6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747ADF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38 606,40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04B9" w:rsidRDefault="008C7D27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37 939,83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8C7D27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47ADF">
              <w:rPr>
                <w:rFonts w:ascii="Times New Roman" w:hAnsi="Times New Roman" w:cs="Times New Roman"/>
                <w:sz w:val="26"/>
                <w:szCs w:val="26"/>
              </w:rPr>
              <w:t> 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="00747A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CA2E91" w:rsidP="008C7D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107 130,72</w:t>
            </w:r>
          </w:p>
        </w:tc>
      </w:tr>
      <w:tr w:rsidR="00F904B9" w:rsidTr="008C7D27">
        <w:trPr>
          <w:cantSplit/>
          <w:trHeight w:val="1568"/>
          <w:jc w:val="center"/>
        </w:trPr>
        <w:tc>
          <w:tcPr>
            <w:tcW w:w="2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977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="00747ADF">
              <w:rPr>
                <w:rFonts w:ascii="Times New Roman" w:hAnsi="Times New Roman" w:cs="Times New Roman"/>
                <w:sz w:val="26"/>
                <w:szCs w:val="26"/>
              </w:rPr>
              <w:t xml:space="preserve"> расходуемых средств на реализацию программы может уточняться и корректироваться, исходя из возможностей муниципального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  <w:tr w:rsidR="00F904B9" w:rsidTr="008C7D27">
        <w:trPr>
          <w:cantSplit/>
          <w:trHeight w:val="1698"/>
          <w:jc w:val="center"/>
        </w:trPr>
        <w:tc>
          <w:tcPr>
            <w:tcW w:w="2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программы предполагается к 2026 году достичь:</w:t>
            </w:r>
          </w:p>
          <w:p w:rsidR="00F904B9" w:rsidRDefault="00747ADF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увеличения количества жителей города, вовлеченных в сферу деятельности ТОС;</w:t>
            </w:r>
          </w:p>
          <w:p w:rsidR="00F904B9" w:rsidRDefault="00747ADF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вовлечения населения в решение вопросов местного значения; </w:t>
            </w:r>
          </w:p>
          <w:p w:rsidR="00F904B9" w:rsidRDefault="00747ADF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улучшения взаимодействия между органами государственной власти, органами местного самоуправления и организациями ТОС;</w:t>
            </w:r>
          </w:p>
          <w:p w:rsidR="00F904B9" w:rsidRDefault="00747ADF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улучшения качества работы, сокращения сроков исполнения поручений за счет материально-технической обеспеченности ТОС;  </w:t>
            </w:r>
          </w:p>
          <w:p w:rsidR="00F904B9" w:rsidRDefault="00747ADF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развития системы ТОС города Набережные Челны</w:t>
            </w:r>
          </w:p>
        </w:tc>
      </w:tr>
      <w:tr w:rsidR="00F904B9" w:rsidTr="008C7D27">
        <w:trPr>
          <w:cantSplit/>
          <w:trHeight w:val="96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Система организации контроля за исполнением программы 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4B9" w:rsidRDefault="00747ADF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контроль за исполнением программы осуществляет</w:t>
            </w:r>
          </w:p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и жизнеобеспечения населения Исполнительного комитета</w:t>
            </w:r>
          </w:p>
        </w:tc>
      </w:tr>
    </w:tbl>
    <w:p w:rsidR="00F904B9" w:rsidRDefault="00F904B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F904B9" w:rsidRDefault="00747AD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2. Характеристика сферы реализации программы, описание основных проблем в указанной сфере и прогноз ее развития</w:t>
      </w:r>
    </w:p>
    <w:p w:rsidR="00F904B9" w:rsidRDefault="00F904B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ТОС является самоорганизацией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значения.</w:t>
      </w: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Основной целью деятельности ТОС является повышение качества жизни граждан, построение развитого гражданского общества, инициативное решение насущных проблем и отдельных вопросов местного зна</w:t>
      </w:r>
      <w:r w:rsidR="009774F0">
        <w:rPr>
          <w:rFonts w:ascii="Times New Roman" w:hAnsi="Times New Roman" w:cs="Times New Roman"/>
          <w:sz w:val="26"/>
          <w:szCs w:val="26"/>
        </w:rPr>
        <w:t>чения. ТОС одновременно выступае</w:t>
      </w:r>
      <w:r>
        <w:rPr>
          <w:rFonts w:ascii="Times New Roman" w:hAnsi="Times New Roman" w:cs="Times New Roman"/>
          <w:sz w:val="26"/>
          <w:szCs w:val="26"/>
        </w:rPr>
        <w:t xml:space="preserve">т и в качестве структур публичной власти, и в качестве некоммерческих хозяйствующих субъектов, им принадлежит главная роль привлечения граждан к участию в решении задач местного самоуправления. </w:t>
      </w:r>
    </w:p>
    <w:p w:rsidR="00F904B9" w:rsidRDefault="00747AD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ТОС позволяет реализовать собственные инициативы населения по вопросам местного значения и играет важную роль в решении проблем местных сообществ. </w:t>
      </w:r>
    </w:p>
    <w:p w:rsidR="00F904B9" w:rsidRDefault="00747AD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Во-первых, ТОС – это площадка широкого использования интеллектуального, научного, культурного потенциала жителей города Набережные Челны для решения вопросов местного значения. </w:t>
      </w:r>
    </w:p>
    <w:p w:rsidR="00F904B9" w:rsidRDefault="009774F0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Во-вторых, ТОС представляе</w:t>
      </w:r>
      <w:r w:rsidR="00747ADF">
        <w:rPr>
          <w:rFonts w:ascii="Times New Roman" w:hAnsi="Times New Roman" w:cs="Times New Roman"/>
          <w:sz w:val="26"/>
          <w:szCs w:val="26"/>
        </w:rPr>
        <w:t>т собой организованный информационный канал, по которому информация о проблемах и запросах жителей оперативно поступает в органы местного самоупр</w:t>
      </w:r>
      <w:r>
        <w:rPr>
          <w:rFonts w:ascii="Times New Roman" w:hAnsi="Times New Roman" w:cs="Times New Roman"/>
          <w:sz w:val="26"/>
          <w:szCs w:val="26"/>
        </w:rPr>
        <w:t>авления. В то же время ТОС может</w:t>
      </w:r>
      <w:r w:rsidR="00747ADF">
        <w:rPr>
          <w:rFonts w:ascii="Times New Roman" w:hAnsi="Times New Roman" w:cs="Times New Roman"/>
          <w:sz w:val="26"/>
          <w:szCs w:val="26"/>
        </w:rPr>
        <w:t xml:space="preserve"> быть средством доведения важной информации от органов местного самоуправления до населения.</w:t>
      </w:r>
    </w:p>
    <w:p w:rsidR="00F904B9" w:rsidRDefault="00747AD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В-третьих, ТОС – это важное средство разрешения выявленных проблем, самореализации гражданами собственных запросов.</w:t>
      </w: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настоящее время на территории муниципального образования город Набережные Челны официально</w:t>
      </w:r>
      <w:r w:rsidR="00A5183D">
        <w:rPr>
          <w:rFonts w:ascii="Times New Roman" w:hAnsi="Times New Roman" w:cs="Times New Roman"/>
          <w:sz w:val="26"/>
          <w:szCs w:val="26"/>
        </w:rPr>
        <w:t xml:space="preserve"> зарегистрированы и действуют 80</w:t>
      </w:r>
      <w:r>
        <w:rPr>
          <w:rFonts w:ascii="Times New Roman" w:hAnsi="Times New Roman" w:cs="Times New Roman"/>
          <w:sz w:val="26"/>
          <w:szCs w:val="26"/>
        </w:rPr>
        <w:t xml:space="preserve"> ТОС.</w:t>
      </w: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системы ТОС в городе Набережные Челны завершается и поэтому нуждается в регулировании, совершенствовании и поддержке со стороны органов местного самоуправления.</w:t>
      </w: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процессе функционирования существующих ТОС выявился ряд основных проблем:</w:t>
      </w:r>
    </w:p>
    <w:p w:rsidR="00F904B9" w:rsidRDefault="00747ADF">
      <w:pPr>
        <w:pStyle w:val="af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низкий уровень активности гражданского общества в решении проблем развития территорий;</w:t>
      </w:r>
    </w:p>
    <w:p w:rsidR="00F904B9" w:rsidRDefault="00747ADF">
      <w:pPr>
        <w:pStyle w:val="af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несовершенство механизмов взаимодействия между органами государственной власти, органами местного самоуправления и организациями ТОС;</w:t>
      </w:r>
    </w:p>
    <w:p w:rsidR="00F904B9" w:rsidRDefault="00747ADF">
      <w:pPr>
        <w:pStyle w:val="af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недостаточность материально-технического обеспечения ТОС;</w:t>
      </w:r>
    </w:p>
    <w:p w:rsidR="00F904B9" w:rsidRDefault="00747ADF">
      <w:pPr>
        <w:pStyle w:val="af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низкий уровень информированности населения по вопросам создания и направления деятельности ТОС;</w:t>
      </w:r>
    </w:p>
    <w:p w:rsidR="00F904B9" w:rsidRDefault="00747ADF">
      <w:pPr>
        <w:pStyle w:val="af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недостаточное использование органами местного самоуправления потенциала ТОС для решения проблем местного значения. </w:t>
      </w:r>
    </w:p>
    <w:p w:rsidR="00F904B9" w:rsidRDefault="00747A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ТОС.</w:t>
      </w:r>
    </w:p>
    <w:p w:rsidR="00F904B9" w:rsidRDefault="00747A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Успешная реализация всех программных мероприятий позволит:</w:t>
      </w:r>
    </w:p>
    <w:p w:rsidR="00F904B9" w:rsidRDefault="00747A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увеличить количество жителей города Набережные Челны, вовлеченных в сферу деятельности ТОС;</w:t>
      </w:r>
    </w:p>
    <w:p w:rsidR="00F904B9" w:rsidRDefault="00747A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вовлечь население в решение вопросов местного значения;</w:t>
      </w:r>
    </w:p>
    <w:p w:rsidR="00F904B9" w:rsidRDefault="00747A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улучшить взаимодействие между органами государственной власти, органами местного самоуправления и организациями ТОС;</w:t>
      </w:r>
    </w:p>
    <w:p w:rsidR="00F904B9" w:rsidRDefault="00747A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улучшить качество работы, сократить сроки исполнения поручений за счет материально-технической обеспеченности ТОС.</w:t>
      </w:r>
    </w:p>
    <w:p w:rsidR="00F904B9" w:rsidRDefault="00F904B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904B9" w:rsidRDefault="00747ADF">
      <w:pPr>
        <w:pStyle w:val="ConsPlusCel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3.  Основные цели и задачи, сроки и этапы реализации программы</w:t>
      </w:r>
    </w:p>
    <w:p w:rsidR="00F904B9" w:rsidRDefault="00F904B9">
      <w:pPr>
        <w:pStyle w:val="ConsPlusCel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- формирование благоприятных условий для устойчивого функционирования и развития ТОС.</w:t>
      </w: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достижения поставленной цели предусматривается решение следующих задач:</w:t>
      </w:r>
    </w:p>
    <w:p w:rsidR="00F904B9" w:rsidRDefault="00747ADF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вовлечение населения города Набережные Челны в процесс развития ТОС для эффективного решения вопросов местного значения;</w:t>
      </w:r>
    </w:p>
    <w:p w:rsidR="00F904B9" w:rsidRDefault="00747ADF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населения;</w:t>
      </w:r>
    </w:p>
    <w:p w:rsidR="00F904B9" w:rsidRDefault="00747ADF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создание условий для повышения качества деятельности организаций ТОС. </w:t>
      </w:r>
    </w:p>
    <w:p w:rsidR="00F904B9" w:rsidRDefault="00747ADF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реализуется в 2024-2026 годах.</w:t>
      </w:r>
    </w:p>
    <w:p w:rsidR="00F904B9" w:rsidRDefault="00747ADF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Этапы реализации программы:</w:t>
      </w:r>
    </w:p>
    <w:p w:rsidR="00F904B9" w:rsidRDefault="00747ADF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этап – 2024 год;</w:t>
      </w:r>
    </w:p>
    <w:p w:rsidR="00F904B9" w:rsidRDefault="00747ADF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 этап – 2025 год;</w:t>
      </w:r>
    </w:p>
    <w:p w:rsidR="00F904B9" w:rsidRDefault="00747ADF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 этап – 2026 год.</w:t>
      </w:r>
    </w:p>
    <w:p w:rsidR="00F904B9" w:rsidRDefault="00747ADF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br w:type="page"/>
      </w:r>
    </w:p>
    <w:p w:rsidR="00F904B9" w:rsidRDefault="00747A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lastRenderedPageBreak/>
        <w:t>Глава 4. Индикаторы, позволяющие определить</w:t>
      </w:r>
    </w:p>
    <w:p w:rsidR="00F904B9" w:rsidRDefault="00747A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 xml:space="preserve"> результативность реализации программы </w:t>
      </w:r>
    </w:p>
    <w:p w:rsidR="00F904B9" w:rsidRDefault="00F904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tt-RU"/>
        </w:rPr>
      </w:pPr>
    </w:p>
    <w:p w:rsidR="00F904B9" w:rsidRDefault="0074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оценки эффективности мероприятий программы предлагается использовать следующие показатели:</w:t>
      </w:r>
    </w:p>
    <w:p w:rsidR="00F904B9" w:rsidRDefault="00F9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99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3090"/>
        <w:gridCol w:w="3300"/>
        <w:gridCol w:w="2879"/>
      </w:tblGrid>
      <w:tr w:rsidR="00F904B9">
        <w:tc>
          <w:tcPr>
            <w:tcW w:w="705" w:type="dxa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</w:tc>
      </w:tr>
      <w:tr w:rsidR="00F904B9">
        <w:trPr>
          <w:trHeight w:val="742"/>
        </w:trPr>
        <w:tc>
          <w:tcPr>
            <w:tcW w:w="705" w:type="dxa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граждан, вовлеченных в сферу деятельности ТОС, участников мероприятий, проц.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х 100, где:</w:t>
            </w:r>
          </w:p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удельный вес населения города, вовлеченных в сферу деятельности ТОС;</w:t>
            </w:r>
          </w:p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численность населения города, принимающих участие в мероприятиях, организованных ТОС;</w:t>
            </w:r>
          </w:p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численность населения города по данным статистики</w:t>
            </w: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администраций районов Исполнительного комитета, информация</w:t>
            </w:r>
            <w:r w:rsidR="00D801E3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управления экономического развития и поддержки предпринимательства Исполнитель</w:t>
            </w:r>
            <w:r>
              <w:rPr>
                <w:rFonts w:ascii="Times New Roman" w:eastAsia="Calibri" w:hAnsi="Times New Roman" w:cs="Times New Roman"/>
              </w:rPr>
              <w:t xml:space="preserve">ного комитета </w:t>
            </w:r>
          </w:p>
        </w:tc>
      </w:tr>
      <w:tr w:rsidR="00F904B9">
        <w:trPr>
          <w:trHeight w:val="1393"/>
        </w:trPr>
        <w:tc>
          <w:tcPr>
            <w:tcW w:w="705" w:type="dxa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Style w:val="FontStyle35"/>
                <w:rFonts w:eastAsia="Calibri"/>
                <w:sz w:val="22"/>
                <w:szCs w:val="22"/>
              </w:rPr>
              <w:t>Доля социально незащищенных граждан, охваченная вниманием со стороны ТОС, проц.</w:t>
            </w:r>
          </w:p>
          <w:p w:rsidR="00F904B9" w:rsidRDefault="00F904B9">
            <w:pPr>
              <w:widowControl w:val="0"/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Чзи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Чни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х 100, где:</w:t>
            </w:r>
          </w:p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доля социально незащищенных граждан города, охваченных вниманием со стороны ТОС;</w:t>
            </w:r>
          </w:p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Чзи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численность социально незащищенных граждан города, охваченных вниманием со стороны ТОС;</w:t>
            </w:r>
          </w:p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Чни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численность социально незащищенных граждан города</w:t>
            </w:r>
          </w:p>
          <w:p w:rsidR="00F904B9" w:rsidRDefault="00F904B9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Отчеты администраций районов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  <w:r>
              <w:rPr>
                <w:rFonts w:ascii="Times New Roman" w:eastAsia="Calibri" w:hAnsi="Times New Roman" w:cs="Times New Roman"/>
              </w:rPr>
              <w:t>, информация от управления социальной защиты Министерства труда, занятости и социальной защиты Республики Татарстан в г. Набережные Челны</w:t>
            </w:r>
          </w:p>
        </w:tc>
      </w:tr>
      <w:tr w:rsidR="00F904B9">
        <w:trPr>
          <w:trHeight w:val="1393"/>
        </w:trPr>
        <w:tc>
          <w:tcPr>
            <w:tcW w:w="705" w:type="dxa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Style w:val="FontStyle35"/>
                <w:rFonts w:eastAsia="Calibri"/>
                <w:sz w:val="22"/>
                <w:szCs w:val="22"/>
              </w:rPr>
              <w:t>Доля ТОС</w:t>
            </w:r>
            <w:r w:rsidR="00CE5310">
              <w:rPr>
                <w:rStyle w:val="FontStyle35"/>
                <w:rFonts w:eastAsia="Calibri"/>
                <w:sz w:val="22"/>
                <w:szCs w:val="22"/>
              </w:rPr>
              <w:t>,</w:t>
            </w:r>
            <w:r>
              <w:rPr>
                <w:rStyle w:val="FontStyle35"/>
                <w:rFonts w:eastAsia="Calibri"/>
                <w:sz w:val="22"/>
                <w:szCs w:val="22"/>
              </w:rPr>
              <w:t xml:space="preserve"> оснащенных  оргтехникой и мебелью, проц.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 =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х 100, где</w:t>
            </w:r>
          </w:p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- доля ТОС, оснащенных оргтехникой и мебелью;</w:t>
            </w:r>
          </w:p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No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количество оснащенных рабочих мест мебелью и (или) оргтехникой;</w:t>
            </w:r>
          </w:p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Nн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количество рабочих мест, которые необходимо оснастить мебелью и (или) оргтехникой</w:t>
            </w: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Отчеты администраций районов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</w:p>
        </w:tc>
      </w:tr>
      <w:tr w:rsidR="00F904B9">
        <w:trPr>
          <w:trHeight w:val="1393"/>
        </w:trPr>
        <w:tc>
          <w:tcPr>
            <w:tcW w:w="705" w:type="dxa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Style w:val="FontStyle35"/>
                <w:rFonts w:eastAsia="Calibri"/>
                <w:sz w:val="22"/>
                <w:szCs w:val="22"/>
              </w:rPr>
              <w:t>Количество культурно-массовых мероприятий</w:t>
            </w:r>
            <w:r w:rsidR="00CE5310">
              <w:rPr>
                <w:rStyle w:val="FontStyle35"/>
                <w:rFonts w:eastAsia="Calibri"/>
                <w:sz w:val="22"/>
                <w:szCs w:val="22"/>
              </w:rPr>
              <w:t>,</w:t>
            </w:r>
            <w:r>
              <w:rPr>
                <w:rStyle w:val="FontStyle35"/>
                <w:rFonts w:eastAsia="Calibri"/>
                <w:sz w:val="22"/>
                <w:szCs w:val="22"/>
              </w:rPr>
              <w:t xml:space="preserve"> организованных ТОС, ед.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– количество культурно-массовых мероприятий, организованных ТОС</w:t>
            </w: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Отчеты администраций районов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</w:p>
        </w:tc>
      </w:tr>
      <w:tr w:rsidR="00F904B9">
        <w:trPr>
          <w:trHeight w:val="1393"/>
        </w:trPr>
        <w:tc>
          <w:tcPr>
            <w:tcW w:w="705" w:type="dxa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Style w:val="FontStyle35"/>
                <w:rFonts w:eastAsia="Calibri"/>
                <w:sz w:val="22"/>
                <w:szCs w:val="22"/>
              </w:rPr>
              <w:t>Количество участников ТОС, чел.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- количество участников ТОС</w:t>
            </w: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Отчеты администраций районов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</w:p>
        </w:tc>
      </w:tr>
      <w:tr w:rsidR="00F904B9">
        <w:trPr>
          <w:trHeight w:val="1393"/>
        </w:trPr>
        <w:tc>
          <w:tcPr>
            <w:tcW w:w="705" w:type="dxa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ind w:right="-25"/>
              <w:rPr>
                <w:rFonts w:ascii="Times New Roman" w:eastAsia="Calibri" w:hAnsi="Times New Roman" w:cs="Times New Roman"/>
              </w:rPr>
            </w:pPr>
            <w:r>
              <w:rPr>
                <w:rStyle w:val="FontStyle35"/>
                <w:rFonts w:eastAsia="Calibri"/>
                <w:sz w:val="22"/>
                <w:szCs w:val="22"/>
              </w:rPr>
              <w:t xml:space="preserve">Количество членов актива ТОС, получивших выплаты в виде материального стимулирования, чел. 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- количество членов актива ТОС, получивших выплаты в виде материального стимулирования</w:t>
            </w: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Отчеты администраций районов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</w:p>
        </w:tc>
      </w:tr>
      <w:tr w:rsidR="00F904B9">
        <w:trPr>
          <w:trHeight w:val="728"/>
        </w:trPr>
        <w:tc>
          <w:tcPr>
            <w:tcW w:w="705" w:type="dxa"/>
            <w:vAlign w:val="center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проведенных встреч, ед.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 - общее количество проведенных встреч </w:t>
            </w:r>
          </w:p>
          <w:p w:rsidR="00F904B9" w:rsidRDefault="00F904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Отчеты администраций районов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</w:p>
        </w:tc>
      </w:tr>
      <w:tr w:rsidR="00F904B9">
        <w:trPr>
          <w:trHeight w:val="1153"/>
        </w:trPr>
        <w:tc>
          <w:tcPr>
            <w:tcW w:w="705" w:type="dxa"/>
            <w:vAlign w:val="center"/>
          </w:tcPr>
          <w:p w:rsidR="00F904B9" w:rsidRDefault="00F904B9">
            <w:pPr>
              <w:pStyle w:val="af6"/>
              <w:widowControl w:val="0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жителей города, вовлеченных в мероприятия, организованные ТОС, чел.</w:t>
            </w:r>
          </w:p>
        </w:tc>
        <w:tc>
          <w:tcPr>
            <w:tcW w:w="3300" w:type="dxa"/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– количество жителей города, вовлеченных в мероприятия, организованные ТОС</w:t>
            </w:r>
          </w:p>
        </w:tc>
        <w:tc>
          <w:tcPr>
            <w:tcW w:w="2879" w:type="dxa"/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Отчеты администраций районов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</w:p>
        </w:tc>
      </w:tr>
    </w:tbl>
    <w:p w:rsidR="00F904B9" w:rsidRDefault="00F904B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F904B9" w:rsidRDefault="00747A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 xml:space="preserve">Глава 5. </w:t>
      </w:r>
      <w:r>
        <w:rPr>
          <w:rFonts w:ascii="Times New Roman" w:hAnsi="Times New Roman" w:cs="Times New Roman"/>
          <w:sz w:val="26"/>
          <w:szCs w:val="26"/>
        </w:rPr>
        <w:t xml:space="preserve">Ресурсное обеспечение программы </w:t>
      </w:r>
    </w:p>
    <w:p w:rsidR="00F904B9" w:rsidRDefault="00F904B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F904B9" w:rsidRDefault="0074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Источником финансирования программы является бюджет муниципального образования город Набережные Челны.</w:t>
      </w:r>
    </w:p>
    <w:p w:rsidR="00F904B9" w:rsidRDefault="0074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Объем финансирования программы на </w:t>
      </w:r>
      <w:r>
        <w:rPr>
          <w:rFonts w:ascii="Times New Roman" w:hAnsi="Times New Roman" w:cs="Times New Roman"/>
          <w:sz w:val="26"/>
          <w:szCs w:val="26"/>
        </w:rPr>
        <w:t xml:space="preserve">2024-2026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годы составляет </w:t>
      </w:r>
      <w:r w:rsidR="008C7D27">
        <w:rPr>
          <w:rFonts w:ascii="Times New Roman" w:hAnsi="Times New Roman"/>
          <w:sz w:val="26"/>
          <w:szCs w:val="26"/>
        </w:rPr>
        <w:t xml:space="preserve">107 130,72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тыс. рублей:</w:t>
      </w:r>
    </w:p>
    <w:p w:rsidR="00F904B9" w:rsidRDefault="0074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2024 год – 38</w:t>
      </w:r>
      <w:r w:rsidR="008C7D2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606,40 тыс. руб., 2025 год – 37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8C7D2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939,83 тыс. руб., 2026 год – 30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 5</w:t>
      </w:r>
      <w:r w:rsidR="008C7D2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84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="008C7D2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49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 тыс. руб.</w:t>
      </w:r>
    </w:p>
    <w:p w:rsidR="00F904B9" w:rsidRDefault="00F9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04B9" w:rsidRDefault="00747A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6. Механизм реализации программы </w:t>
      </w:r>
    </w:p>
    <w:p w:rsidR="00F904B9" w:rsidRDefault="00F904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904B9" w:rsidRDefault="00747A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ходом реализации мероприятий программы осуществляет управление городского хозяйства и жизнеобеспечения населения Исполнительного комитета.</w:t>
      </w:r>
    </w:p>
    <w:p w:rsidR="00F904B9" w:rsidRDefault="00747AD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F904B9">
          <w:headerReference w:type="default" r:id="rId8"/>
          <w:pgSz w:w="11906" w:h="16838"/>
          <w:pgMar w:top="1134" w:right="851" w:bottom="1134" w:left="1065" w:header="709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6"/>
          <w:szCs w:val="26"/>
        </w:rPr>
        <w:t>Анализ результативности программы осуществляется в соответствии с порядком разработки, реализации и оценки эффективности муниципальных программ, утвержденным постановлением Исполнительного комитета от 11.09.2017 № 5326.</w:t>
      </w:r>
    </w:p>
    <w:p w:rsidR="00F904B9" w:rsidRDefault="00747ADF">
      <w:pPr>
        <w:pStyle w:val="5"/>
      </w:pPr>
      <w:r>
        <w:lastRenderedPageBreak/>
        <w:t>Глава 7. Цели, задачи, индикаторы оценки результатов программы и финансирование по мероприятиям программы</w:t>
      </w:r>
    </w:p>
    <w:p w:rsidR="00F904B9" w:rsidRDefault="00F90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57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955"/>
        <w:gridCol w:w="2370"/>
        <w:gridCol w:w="1121"/>
        <w:gridCol w:w="2080"/>
        <w:gridCol w:w="845"/>
        <w:gridCol w:w="845"/>
        <w:gridCol w:w="700"/>
        <w:gridCol w:w="728"/>
        <w:gridCol w:w="1275"/>
        <w:gridCol w:w="1276"/>
        <w:gridCol w:w="1276"/>
        <w:gridCol w:w="236"/>
      </w:tblGrid>
      <w:tr w:rsidR="00F904B9" w:rsidTr="000E56CF">
        <w:trPr>
          <w:gridAfter w:val="1"/>
          <w:wAfter w:w="236" w:type="dxa"/>
          <w:cantSplit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904B9" w:rsidRDefault="00747ADF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Исполнители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 выполнения мероприятий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Значения индикаторов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Финансирование мероприятий программы из муниципального бюджета (тыс. рублей)</w:t>
            </w:r>
          </w:p>
          <w:p w:rsidR="00F904B9" w:rsidRDefault="00F904B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4B9" w:rsidTr="000E56CF">
        <w:trPr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B9" w:rsidRDefault="00F904B9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B9" w:rsidRDefault="00F904B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B9" w:rsidRDefault="00F904B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B9" w:rsidRDefault="00F904B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B9" w:rsidRDefault="00F904B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2023 (базовый)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 w:rsidP="000E56CF">
            <w:pPr>
              <w:pStyle w:val="af7"/>
              <w:spacing w:line="276" w:lineRule="auto"/>
              <w:ind w:left="-153" w:right="-4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gridAfter w:val="1"/>
          <w:wAfter w:w="236" w:type="dxa"/>
          <w:trHeight w:val="564"/>
          <w:jc w:val="center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цели: Формирование благоприятных условий для устойчивого функционирования и развития ТОС</w:t>
            </w:r>
          </w:p>
        </w:tc>
      </w:tr>
      <w:tr w:rsidR="00F904B9" w:rsidTr="000E56CF">
        <w:trPr>
          <w:gridAfter w:val="1"/>
          <w:wAfter w:w="236" w:type="dxa"/>
          <w:trHeight w:val="572"/>
          <w:jc w:val="center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задачи 1. Вовлечение населения г. Набережные Челны в процесс развития ТОС для эффективного решения вопросов местного значения</w:t>
            </w: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Рейды по контролю благоустройства территории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Помоги собраться в школу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58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Декада старшего поколения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районов Исполнительного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принимавших</w:t>
            </w:r>
          </w:p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 мероприятии,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Декада людей с ограниченными возможностями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93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Кинопоказы под открытым небом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83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Праздник двора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Встречи с участниками и ветеранами Великой Отечественной войны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</w:t>
            </w:r>
          </w:p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конкурса «Лучшее территориальное общественное самоуправление года»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 w:rsidR="00F904B9" w:rsidRDefault="00747ADF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части оказания содействия в организации)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2024-2026 годы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Количество ТОС – участников конкурса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4F3C0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gridAfter w:val="1"/>
          <w:wAfter w:w="236" w:type="dxa"/>
          <w:trHeight w:val="144"/>
          <w:jc w:val="center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задачи 2: Совершенствование организации взаимодействия органа местного самоуправления с организациями ТОС для реализации социаль</w:t>
            </w:r>
            <w:r w:rsidR="00A5183D">
              <w:rPr>
                <w:rFonts w:ascii="Times New Roman" w:hAnsi="Times New Roman" w:cs="Times New Roman"/>
                <w:sz w:val="26"/>
                <w:szCs w:val="26"/>
              </w:rPr>
              <w:t>но значимых инициатив населения</w:t>
            </w: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Работа по развитию ассоциаций ТОС и  координационного центра ТОС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встреч, ед.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Работа по развитию советов ТОС, как эффективной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формы вовлечения граждан в реализацию общественно значимых задач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районов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встреч, ед.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Активизация деятельности ТОС в работе с населением, повышенное внимание гражданам , нуждающимся в мерах социальной защиты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социально незащищенных граждан, которым оказывается поддержка со стороны ТОС, проц.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gridAfter w:val="1"/>
          <w:wAfter w:w="236" w:type="dxa"/>
          <w:trHeight w:val="144"/>
          <w:jc w:val="center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задачи 3: Создание условий для повышения качества деятельности организаций ТОС</w:t>
            </w:r>
          </w:p>
        </w:tc>
      </w:tr>
      <w:tr w:rsidR="00F904B9" w:rsidTr="000E56CF">
        <w:trPr>
          <w:trHeight w:val="1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6"/>
              <w:widowControl w:val="0"/>
              <w:numPr>
                <w:ilvl w:val="0"/>
                <w:numId w:val="4"/>
              </w:numPr>
              <w:spacing w:after="0"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</w:t>
            </w:r>
          </w:p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конкурса «Лучшая практика ТОС»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районов </w:t>
            </w:r>
          </w:p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Исполнительного комитета,</w:t>
            </w:r>
          </w:p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управление городского хозяйства и жизнеобеспечения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населения Исполнительный комитет</w:t>
            </w:r>
          </w:p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части оказания содействия в организации)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2024-2026 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реализованных ТОС практик, ед.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 w:rsidP="008C7D27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0,0</w:t>
            </w:r>
            <w:r w:rsidR="008C7D27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5 000,0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453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6"/>
              <w:widowControl w:val="0"/>
              <w:spacing w:line="240" w:lineRule="auto"/>
              <w:ind w:left="306" w:hanging="30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компенсационных выплат руководителями ТОС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 части оказания содействия в организации)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2024-2026 годы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9774F0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ТОС, </w:t>
            </w:r>
            <w:r w:rsidR="00747ADF">
              <w:rPr>
                <w:rFonts w:ascii="Times New Roman" w:hAnsi="Times New Roman" w:cs="Times New Roman"/>
                <w:sz w:val="26"/>
                <w:szCs w:val="26"/>
              </w:rPr>
              <w:t>осуществляющих деятельность на территории г. Набережные Челны/ Количество ТОС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получающих</w:t>
            </w:r>
            <w:r w:rsidR="00747ADF">
              <w:rPr>
                <w:rFonts w:ascii="Times New Roman" w:hAnsi="Times New Roman" w:cs="Times New Roman"/>
                <w:sz w:val="26"/>
                <w:szCs w:val="26"/>
              </w:rPr>
              <w:t xml:space="preserve"> компенсационные выплаты из бюджета Республики Татарстан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78/78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78/78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79/79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4F3C0B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80/80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24462,08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 w:rsidP="008C7D27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  <w:r w:rsidR="008C7D27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773,28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Pr="008C7D27" w:rsidRDefault="008C7D27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25 084,49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trHeight w:val="453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6"/>
              <w:widowControl w:val="0"/>
              <w:spacing w:line="240" w:lineRule="auto"/>
              <w:ind w:left="306" w:hanging="306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конкурсе «Лучшее территориальное общественное самоуправление Республики Татарстан»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районов Исполнительного комитета, управление городского хозяйства и жизнеобеспечения населения Исполнительного комитета (в части оказания содействия в организации)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2024-2026 годы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проектов, выставленных ТОС на республиканский конкурс/Количество социально значимых проектов, реализованных ТОС, получивших финансирование из республиканского бюджета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0E56C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13 644,32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13 166,55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left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  <w:tr w:rsidR="00F904B9" w:rsidTr="000E56C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Всего по программе: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left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F904B9">
            <w:pPr>
              <w:pStyle w:val="af7"/>
              <w:spacing w:line="276" w:lineRule="auto"/>
              <w:ind w:left="-15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B9" w:rsidRDefault="00747ADF">
            <w:pPr>
              <w:pStyle w:val="af7"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38 606,40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747ADF" w:rsidP="00C05E61">
            <w:pPr>
              <w:pStyle w:val="af7"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A5183D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C05E61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39,83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B9" w:rsidRDefault="000E56CF">
            <w:pPr>
              <w:pStyle w:val="af7"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30 5</w:t>
            </w:r>
            <w:r w:rsidR="00C05E61">
              <w:rPr>
                <w:rFonts w:ascii="Times New Roman" w:hAnsi="Times New Roman"/>
                <w:sz w:val="26"/>
                <w:szCs w:val="26"/>
                <w:lang w:eastAsia="en-US"/>
              </w:rPr>
              <w:t>84,49</w:t>
            </w:r>
          </w:p>
        </w:tc>
        <w:tc>
          <w:tcPr>
            <w:tcW w:w="236" w:type="dxa"/>
          </w:tcPr>
          <w:p w:rsidR="00F904B9" w:rsidRDefault="00F904B9">
            <w:pPr>
              <w:widowControl w:val="0"/>
            </w:pPr>
          </w:p>
        </w:tc>
      </w:tr>
    </w:tbl>
    <w:p w:rsidR="00F904B9" w:rsidRDefault="00F904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04B9" w:rsidRDefault="00F904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04B9" w:rsidRDefault="00F904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04B9" w:rsidRDefault="00747A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Руководителя Аппарата, </w:t>
      </w:r>
    </w:p>
    <w:p w:rsidR="00F904B9" w:rsidRDefault="00747A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управления делопроизводством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F904B9" w:rsidRDefault="00747A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Исполнительного комитета                                                                                                                                                  Н.И. Галиева</w:t>
      </w:r>
    </w:p>
    <w:sectPr w:rsidR="00F904B9">
      <w:headerReference w:type="default" r:id="rId9"/>
      <w:headerReference w:type="first" r:id="rId10"/>
      <w:pgSz w:w="16838" w:h="11906" w:orient="landscape"/>
      <w:pgMar w:top="851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5D" w:rsidRDefault="0085615D">
      <w:pPr>
        <w:spacing w:after="0" w:line="240" w:lineRule="auto"/>
      </w:pPr>
      <w:r>
        <w:separator/>
      </w:r>
    </w:p>
  </w:endnote>
  <w:endnote w:type="continuationSeparator" w:id="0">
    <w:p w:rsidR="0085615D" w:rsidRDefault="0085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5D" w:rsidRDefault="0085615D">
      <w:pPr>
        <w:spacing w:after="0" w:line="240" w:lineRule="auto"/>
      </w:pPr>
      <w:r>
        <w:separator/>
      </w:r>
    </w:p>
  </w:footnote>
  <w:footnote w:type="continuationSeparator" w:id="0">
    <w:p w:rsidR="0085615D" w:rsidRDefault="0085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30874"/>
      <w:docPartObj>
        <w:docPartGallery w:val="Page Numbers (Top of Page)"/>
        <w:docPartUnique/>
      </w:docPartObj>
    </w:sdtPr>
    <w:sdtEndPr/>
    <w:sdtContent>
      <w:p w:rsidR="00F904B9" w:rsidRDefault="00747AD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A28E3">
          <w:rPr>
            <w:noProof/>
          </w:rPr>
          <w:t>7</w:t>
        </w:r>
        <w:r>
          <w:fldChar w:fldCharType="end"/>
        </w:r>
      </w:p>
      <w:p w:rsidR="00F904B9" w:rsidRDefault="0085615D">
        <w:pPr>
          <w:pStyle w:val="ac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810828"/>
      <w:docPartObj>
        <w:docPartGallery w:val="Page Numbers (Top of Page)"/>
        <w:docPartUnique/>
      </w:docPartObj>
    </w:sdtPr>
    <w:sdtEndPr/>
    <w:sdtContent>
      <w:p w:rsidR="00F904B9" w:rsidRDefault="00747AD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A28E3">
          <w:rPr>
            <w:noProof/>
          </w:rPr>
          <w:t>13</w:t>
        </w:r>
        <w:r>
          <w:fldChar w:fldCharType="end"/>
        </w:r>
      </w:p>
      <w:p w:rsidR="00F904B9" w:rsidRDefault="0085615D">
        <w:pPr>
          <w:pStyle w:val="ac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4B9" w:rsidRDefault="00F904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8EF"/>
    <w:multiLevelType w:val="multilevel"/>
    <w:tmpl w:val="DE0289B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E3240BF"/>
    <w:multiLevelType w:val="multilevel"/>
    <w:tmpl w:val="3280B1D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B2B04C0"/>
    <w:multiLevelType w:val="multilevel"/>
    <w:tmpl w:val="B61CE74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7076604"/>
    <w:multiLevelType w:val="multilevel"/>
    <w:tmpl w:val="05CA6E6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277C6E0E"/>
    <w:multiLevelType w:val="multilevel"/>
    <w:tmpl w:val="C7FCCB3E"/>
    <w:lvl w:ilvl="0">
      <w:start w:val="1"/>
      <w:numFmt w:val="decimal"/>
      <w:lvlText w:val="%1."/>
      <w:lvlJc w:val="left"/>
      <w:pPr>
        <w:tabs>
          <w:tab w:val="num" w:pos="0"/>
        </w:tabs>
        <w:ind w:left="7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8C61302"/>
    <w:multiLevelType w:val="multilevel"/>
    <w:tmpl w:val="DCA41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6F2EF3"/>
    <w:multiLevelType w:val="multilevel"/>
    <w:tmpl w:val="C35077A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591E18A8"/>
    <w:multiLevelType w:val="multilevel"/>
    <w:tmpl w:val="274CE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29664F1"/>
    <w:multiLevelType w:val="multilevel"/>
    <w:tmpl w:val="5EB84A7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B9"/>
    <w:rsid w:val="000740B5"/>
    <w:rsid w:val="000E56CF"/>
    <w:rsid w:val="001726D3"/>
    <w:rsid w:val="00267964"/>
    <w:rsid w:val="00412F48"/>
    <w:rsid w:val="00454B8A"/>
    <w:rsid w:val="004F3C0B"/>
    <w:rsid w:val="00621AE5"/>
    <w:rsid w:val="00733118"/>
    <w:rsid w:val="00747ADF"/>
    <w:rsid w:val="0085615D"/>
    <w:rsid w:val="008C7D27"/>
    <w:rsid w:val="009774F0"/>
    <w:rsid w:val="00A022D9"/>
    <w:rsid w:val="00A41C04"/>
    <w:rsid w:val="00A5183D"/>
    <w:rsid w:val="00C05E61"/>
    <w:rsid w:val="00CA2E91"/>
    <w:rsid w:val="00CE5310"/>
    <w:rsid w:val="00D801E3"/>
    <w:rsid w:val="00E1741D"/>
    <w:rsid w:val="00EA28E3"/>
    <w:rsid w:val="00F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D554"/>
  <w15:docId w15:val="{4529EC5C-361E-4949-AB6C-A3DB8C49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EE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0273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A319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DC326B"/>
  </w:style>
  <w:style w:type="character" w:styleId="a3">
    <w:name w:val="Hyperlink"/>
    <w:basedOn w:val="a0"/>
    <w:uiPriority w:val="99"/>
    <w:semiHidden/>
    <w:unhideWhenUsed/>
    <w:rsid w:val="00DC326B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26B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qFormat/>
    <w:rsid w:val="00BF25AC"/>
  </w:style>
  <w:style w:type="character" w:customStyle="1" w:styleId="10">
    <w:name w:val="Заголовок 1 Знак"/>
    <w:basedOn w:val="a0"/>
    <w:link w:val="1"/>
    <w:uiPriority w:val="9"/>
    <w:qFormat/>
    <w:rsid w:val="0060273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createdate">
    <w:name w:val="createdate"/>
    <w:basedOn w:val="a0"/>
    <w:qFormat/>
    <w:rsid w:val="00602732"/>
  </w:style>
  <w:style w:type="character" w:customStyle="1" w:styleId="createby">
    <w:name w:val="createby"/>
    <w:basedOn w:val="a0"/>
    <w:qFormat/>
    <w:rsid w:val="00602732"/>
  </w:style>
  <w:style w:type="character" w:styleId="a6">
    <w:name w:val="Strong"/>
    <w:basedOn w:val="a0"/>
    <w:uiPriority w:val="22"/>
    <w:qFormat/>
    <w:rsid w:val="001554DF"/>
    <w:rPr>
      <w:b/>
      <w:bCs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F00469"/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074ED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97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970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970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-articleintro">
    <w:name w:val="b-article__intro"/>
    <w:basedOn w:val="a0"/>
    <w:qFormat/>
    <w:rsid w:val="00397009"/>
  </w:style>
  <w:style w:type="character" w:customStyle="1" w:styleId="number">
    <w:name w:val="number"/>
    <w:basedOn w:val="a0"/>
    <w:qFormat/>
    <w:rsid w:val="00397009"/>
  </w:style>
  <w:style w:type="character" w:customStyle="1" w:styleId="z-">
    <w:name w:val="z-Начало формы Знак"/>
    <w:basedOn w:val="a0"/>
    <w:link w:val="z-0"/>
    <w:uiPriority w:val="99"/>
    <w:semiHidden/>
    <w:qFormat/>
    <w:rsid w:val="00C264B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qFormat/>
    <w:rsid w:val="00C264B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1">
    <w:name w:val="Цитата 2 Знак"/>
    <w:basedOn w:val="a0"/>
    <w:link w:val="22"/>
    <w:uiPriority w:val="29"/>
    <w:qFormat/>
    <w:rsid w:val="00E15FA4"/>
    <w:rPr>
      <w:i/>
      <w:iCs/>
      <w:color w:val="000000" w:themeColor="text1"/>
    </w:rPr>
  </w:style>
  <w:style w:type="character" w:customStyle="1" w:styleId="aa">
    <w:name w:val="Цветовое выделение"/>
    <w:qFormat/>
    <w:rsid w:val="00611D25"/>
    <w:rPr>
      <w:b/>
      <w:bCs/>
      <w:color w:val="000080"/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66B0"/>
  </w:style>
  <w:style w:type="character" w:customStyle="1" w:styleId="ad">
    <w:name w:val="Нижний колонтитул Знак"/>
    <w:basedOn w:val="a0"/>
    <w:link w:val="ae"/>
    <w:uiPriority w:val="99"/>
    <w:qFormat/>
    <w:rsid w:val="00B466B0"/>
  </w:style>
  <w:style w:type="character" w:customStyle="1" w:styleId="rphighlightallclass">
    <w:name w:val="rphighlightallclass"/>
    <w:basedOn w:val="a0"/>
    <w:qFormat/>
    <w:rsid w:val="00A2173E"/>
  </w:style>
  <w:style w:type="character" w:customStyle="1" w:styleId="rp61">
    <w:name w:val="_rp_61"/>
    <w:basedOn w:val="a0"/>
    <w:qFormat/>
    <w:rsid w:val="00A2173E"/>
  </w:style>
  <w:style w:type="character" w:customStyle="1" w:styleId="fc4">
    <w:name w:val="_fc_4"/>
    <w:basedOn w:val="a0"/>
    <w:qFormat/>
    <w:rsid w:val="00A2173E"/>
  </w:style>
  <w:style w:type="character" w:customStyle="1" w:styleId="peb">
    <w:name w:val="_pe_b"/>
    <w:basedOn w:val="a0"/>
    <w:qFormat/>
    <w:rsid w:val="00A2173E"/>
  </w:style>
  <w:style w:type="character" w:customStyle="1" w:styleId="bidi">
    <w:name w:val="bidi"/>
    <w:basedOn w:val="a0"/>
    <w:qFormat/>
    <w:rsid w:val="00A2173E"/>
  </w:style>
  <w:style w:type="character" w:customStyle="1" w:styleId="rpd1">
    <w:name w:val="_rp_d1"/>
    <w:basedOn w:val="a0"/>
    <w:qFormat/>
    <w:rsid w:val="00A2173E"/>
  </w:style>
  <w:style w:type="character" w:customStyle="1" w:styleId="postlikelink">
    <w:name w:val="post_like_link"/>
    <w:basedOn w:val="a0"/>
    <w:qFormat/>
    <w:rsid w:val="00AD7ADF"/>
  </w:style>
  <w:style w:type="character" w:customStyle="1" w:styleId="postlikecount">
    <w:name w:val="post_like_count"/>
    <w:basedOn w:val="a0"/>
    <w:qFormat/>
    <w:rsid w:val="00AD7ADF"/>
  </w:style>
  <w:style w:type="character" w:customStyle="1" w:styleId="blindlabel">
    <w:name w:val="blind_label"/>
    <w:basedOn w:val="a0"/>
    <w:qFormat/>
    <w:rsid w:val="00AD7ADF"/>
  </w:style>
  <w:style w:type="character" w:customStyle="1" w:styleId="postsharelink">
    <w:name w:val="post_share_link"/>
    <w:basedOn w:val="a0"/>
    <w:qFormat/>
    <w:rsid w:val="00AD7ADF"/>
  </w:style>
  <w:style w:type="character" w:customStyle="1" w:styleId="postsharecount">
    <w:name w:val="post_share_count"/>
    <w:basedOn w:val="a0"/>
    <w:qFormat/>
    <w:rsid w:val="00AD7ADF"/>
  </w:style>
  <w:style w:type="character" w:styleId="af">
    <w:name w:val="page number"/>
    <w:basedOn w:val="a0"/>
    <w:uiPriority w:val="99"/>
    <w:qFormat/>
    <w:rsid w:val="00754E70"/>
    <w:rPr>
      <w:rFonts w:cs="Times New Roman"/>
    </w:rPr>
  </w:style>
  <w:style w:type="character" w:customStyle="1" w:styleId="FontStyle35">
    <w:name w:val="Font Style35"/>
    <w:qFormat/>
    <w:rsid w:val="00AE1D8E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5A3190"/>
    <w:rPr>
      <w:rFonts w:ascii="Times New Roman" w:hAnsi="Times New Roman" w:cs="Times New Roman"/>
      <w:sz w:val="26"/>
      <w:szCs w:val="26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Normal (Web)"/>
    <w:basedOn w:val="a"/>
    <w:uiPriority w:val="99"/>
    <w:unhideWhenUsed/>
    <w:qFormat/>
    <w:rsid w:val="00DC32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DC32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99"/>
    <w:qFormat/>
    <w:rsid w:val="00047E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047E9A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047E9A"/>
    <w:rPr>
      <w:rFonts w:ascii="Arial" w:hAnsi="Arial" w:cs="Arial"/>
      <w:b/>
      <w:bCs/>
      <w:sz w:val="20"/>
      <w:szCs w:val="20"/>
    </w:rPr>
  </w:style>
  <w:style w:type="paragraph" w:styleId="a8">
    <w:name w:val="No Spacing"/>
    <w:link w:val="a7"/>
    <w:uiPriority w:val="1"/>
    <w:qFormat/>
    <w:rsid w:val="0018003E"/>
    <w:rPr>
      <w:rFonts w:cs="Times New Roman"/>
    </w:rPr>
  </w:style>
  <w:style w:type="paragraph" w:customStyle="1" w:styleId="b-articletext">
    <w:name w:val="b-article__text"/>
    <w:basedOn w:val="a"/>
    <w:qFormat/>
    <w:rsid w:val="003970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C264B9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uiPriority w:val="99"/>
    <w:unhideWhenUsed/>
    <w:qFormat/>
    <w:rsid w:val="00C264B9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22">
    <w:name w:val="Quote"/>
    <w:basedOn w:val="a"/>
    <w:next w:val="a"/>
    <w:link w:val="21"/>
    <w:uiPriority w:val="29"/>
    <w:qFormat/>
    <w:rsid w:val="00E15FA4"/>
    <w:rPr>
      <w:i/>
      <w:iCs/>
      <w:color w:val="000000" w:themeColor="text1"/>
    </w:rPr>
  </w:style>
  <w:style w:type="paragraph" w:customStyle="1" w:styleId="af7">
    <w:name w:val="Нормальный (таблица)"/>
    <w:basedOn w:val="a"/>
    <w:next w:val="a"/>
    <w:uiPriority w:val="99"/>
    <w:qFormat/>
    <w:rsid w:val="00611D2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qFormat/>
    <w:rsid w:val="00611D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611D2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B466B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B466B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161B8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a">
    <w:name w:val="Table Grid"/>
    <w:basedOn w:val="a1"/>
    <w:uiPriority w:val="59"/>
    <w:rsid w:val="00240B3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E6449-2132-4545-94AB-EEC8E953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Галиева Ляйсан Рузиловна</cp:lastModifiedBy>
  <cp:revision>34</cp:revision>
  <cp:lastPrinted>2026-03-02T10:59:00Z</cp:lastPrinted>
  <dcterms:created xsi:type="dcterms:W3CDTF">2024-02-13T12:19:00Z</dcterms:created>
  <dcterms:modified xsi:type="dcterms:W3CDTF">2026-03-16T05:45:00Z</dcterms:modified>
  <dc:language>ru-RU</dc:language>
</cp:coreProperties>
</file>