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67" w:left="-567"/>
        <w:rPr/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>
      <w:pPr>
        <w:pStyle w:val="Normal"/>
        <w:spacing w:lineRule="auto" w:line="240" w:before="0" w:after="0"/>
        <w:ind w:firstLine="567" w:left="-567"/>
        <w:rPr/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keepNext w:val="true"/>
        <w:keepLines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  <w:lang w:eastAsia="ru-RU"/>
        </w:rPr>
        <w:t xml:space="preserve">О внесении изменений в положение </w:t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  <w:lang w:eastAsia="ru-RU"/>
        </w:rPr>
        <w:t xml:space="preserve">о создании и поддержании в состоянии </w:t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  <w:lang w:eastAsia="ru-RU"/>
        </w:rPr>
        <w:t>постоянной готовности к использованию</w:t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  <w:lang w:eastAsia="ru-RU"/>
        </w:rPr>
        <w:t>защитных сооружений и других объектов гражданской обороны на территории города Набережные Челны,</w:t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  <w:lang w:eastAsia="ru-RU"/>
        </w:rPr>
        <w:t xml:space="preserve">утвержденное Постановлением Исполнительного комитета </w:t>
      </w:r>
      <w:bookmarkStart w:id="0" w:name="_GoBack"/>
      <w:bookmarkEnd w:id="0"/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rStyle w:val="FontStyle12"/>
          <w:rFonts w:eastAsia="Times New Roman"/>
          <w:sz w:val="28"/>
          <w:szCs w:val="28"/>
          <w:lang w:eastAsia="ru-RU"/>
        </w:rPr>
        <w:t>от 10.08.2023 № 7254</w:t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hanging="0" w:right="5363"/>
        <w:rPr>
          <w:rStyle w:val="FontStyle12"/>
          <w:sz w:val="28"/>
          <w:szCs w:val="28"/>
        </w:rPr>
      </w:pPr>
      <w:r>
        <w:rPr>
          <w:sz w:val="28"/>
          <w:szCs w:val="28"/>
        </w:rPr>
      </w:r>
    </w:p>
    <w:p>
      <w:pPr>
        <w:pStyle w:val="Style51"/>
        <w:widowControl/>
        <w:spacing w:lineRule="auto" w:line="240"/>
        <w:ind w:firstLine="720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В соответствии с постановлением Правительства Российской Федерации от 02.10.2025 № 1517 «О внесении изменений в постановление Правительства Российской Федерации от 29 ноября 1999 г. № 1309», статьёй 53 Устава города, пунктом 5.24 Положения о системе муниципальных правовых актов, утверждённого Решением Городского Совета  от 21.02.2007 № 19/8</w:t>
      </w:r>
    </w:p>
    <w:p>
      <w:pPr>
        <w:pStyle w:val="Style51"/>
        <w:widowControl/>
        <w:spacing w:lineRule="auto" w:line="240"/>
        <w:ind w:firstLine="720" w:left="142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51"/>
        <w:widowControl/>
        <w:spacing w:lineRule="auto" w:line="240"/>
        <w:ind w:firstLine="720" w:left="142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ind w:firstLine="720"/>
        <w:jc w:val="center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П О С Т А Н О В Л Я Ю:</w:t>
      </w:r>
    </w:p>
    <w:p>
      <w:pPr>
        <w:pStyle w:val="Style51"/>
        <w:widowControl/>
        <w:spacing w:lineRule="auto" w:line="240"/>
        <w:ind w:firstLine="567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1. Внести изменения в 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Набережные Челны, утверждённое Постановлением Исполнительного комитета от 10.08.2023 № 7254, изложив его в новой редакции согласно приложению.</w:t>
      </w:r>
    </w:p>
    <w:p>
      <w:pPr>
        <w:pStyle w:val="Style51"/>
        <w:widowControl/>
        <w:spacing w:lineRule="auto" w:line="240"/>
        <w:ind w:firstLine="567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(http://pravo.tatarstan.ru), на официальном сайте города Набережные Челны в сети «Интернет».</w:t>
      </w:r>
    </w:p>
    <w:p>
      <w:pPr>
        <w:pStyle w:val="Style51"/>
        <w:widowControl/>
        <w:spacing w:lineRule="auto" w:line="240"/>
        <w:ind w:firstLine="567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3. Контроль за исполнением настоящего постановления возложить на заместителя Руководитель Исполнительного комитета Салимханова И.А.</w:t>
      </w:r>
    </w:p>
    <w:p>
      <w:pPr>
        <w:pStyle w:val="Style51"/>
        <w:widowControl/>
        <w:spacing w:lineRule="auto" w:line="240"/>
        <w:ind w:firstLine="360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51"/>
        <w:widowControl/>
        <w:spacing w:lineRule="auto" w:line="240"/>
        <w:ind w:firstLine="360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Руководитель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Исполнительного комитета                                                                           Ф.Ш. Салахов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/>
      </w:pPr>
      <w:r>
        <w:rPr>
          <w:rStyle w:val="FontStyle12"/>
          <w:rFonts w:eastAsia="Times New Roman"/>
          <w:color w:val="auto"/>
          <w:kern w:val="0"/>
          <w:sz w:val="16"/>
          <w:szCs w:val="16"/>
          <w:lang w:val="ru-RU" w:eastAsia="ru-RU" w:bidi="ar-SA"/>
        </w:rPr>
        <w:t>Фролова И.В.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276" w:leader="none"/>
        </w:tabs>
        <w:spacing w:lineRule="auto" w:line="240" w:before="0" w:after="0"/>
        <w:ind w:hanging="0" w:left="0"/>
        <w:jc w:val="both"/>
        <w:outlineLvl w:val="3"/>
        <w:rPr/>
      </w:pPr>
      <w:r>
        <w:rPr>
          <w:rStyle w:val="FontStyle12"/>
          <w:rFonts w:eastAsia="Times New Roman"/>
          <w:color w:val="auto"/>
          <w:kern w:val="0"/>
          <w:sz w:val="16"/>
          <w:szCs w:val="16"/>
          <w:lang w:val="ru-RU" w:eastAsia="ru-RU" w:bidi="ar-SA"/>
        </w:rPr>
        <w:t>30-59-31</w:t>
      </w:r>
    </w:p>
    <w:p>
      <w:pPr>
        <w:pStyle w:val="Normal"/>
        <w:spacing w:lineRule="auto" w:line="240" w:before="0" w:after="0"/>
        <w:ind w:firstLine="6521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firstLine="6521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Приложение </w:t>
      </w:r>
    </w:p>
    <w:p>
      <w:pPr>
        <w:pStyle w:val="ListParagraph"/>
        <w:spacing w:lineRule="auto" w:line="240" w:before="0" w:after="0"/>
        <w:ind w:hanging="0" w:left="6521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к постановлению</w:t>
      </w:r>
    </w:p>
    <w:p>
      <w:pPr>
        <w:pStyle w:val="ListParagraph"/>
        <w:spacing w:lineRule="auto" w:line="240" w:before="0" w:after="0"/>
        <w:ind w:hanging="0" w:left="6521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Исполнительного комитета </w:t>
      </w:r>
    </w:p>
    <w:p>
      <w:pPr>
        <w:pStyle w:val="ListParagraph"/>
        <w:spacing w:lineRule="auto" w:line="240" w:before="0" w:after="0"/>
        <w:ind w:hanging="0" w:left="6521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от «__» _____2026 №____</w:t>
      </w:r>
    </w:p>
    <w:p>
      <w:pPr>
        <w:pStyle w:val="Normal"/>
        <w:spacing w:lineRule="auto" w:line="240" w:before="0" w:after="0"/>
        <w:ind w:firstLine="6521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ind w:firstLine="6521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Приложение </w:t>
      </w:r>
    </w:p>
    <w:p>
      <w:pPr>
        <w:pStyle w:val="ListParagraph"/>
        <w:spacing w:lineRule="auto" w:line="240" w:before="0" w:after="0"/>
        <w:ind w:hanging="0" w:left="6521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к постановлению</w:t>
      </w:r>
    </w:p>
    <w:p>
      <w:pPr>
        <w:pStyle w:val="ListParagraph"/>
        <w:spacing w:lineRule="auto" w:line="240" w:before="0" w:after="0"/>
        <w:ind w:hanging="0" w:left="6521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Исполнительного комитета </w:t>
      </w:r>
    </w:p>
    <w:p>
      <w:pPr>
        <w:pStyle w:val="ListParagraph"/>
        <w:spacing w:lineRule="auto" w:line="240" w:before="0" w:after="0"/>
        <w:ind w:hanging="0" w:left="6521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от 10.08.2023 № 7254</w:t>
      </w:r>
    </w:p>
    <w:p>
      <w:pPr>
        <w:pStyle w:val="ListParagraph"/>
        <w:spacing w:lineRule="auto" w:line="240" w:before="0" w:after="0"/>
        <w:ind w:firstLine="567" w:left="0"/>
        <w:contextualSpacing/>
        <w:jc w:val="both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Положение 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Набережные Челны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Глава 1. Общие положения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1. Настоящее Положение о создании и поддержании в состоянии постоянной готовности к использованию защитных сооружений и других объектов гражданской обороны на территории города Набережные Челны разработано в соответствии с Федеральным законом от 12.02.1998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Российской Федерации от 26.11.2007 № 804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15.12.2002 № 583 «Об утверждении и введении в действие Правил эксплуатации защитных сооружений гражданской обороны», приказом Министерства Российской Федерации по делам гражданской обороны, чрезвычайным ситуациям и ликвидации последствий стихийных бедствий от 21.07.2005 № 575 «Об утверждении Порядка содержания и использования защитных сооружений гражданской обороны в мирное время», СП 88.13330.2022. Свод правил. Защитные сооружения гражданской обороны. СНиП II-11-77 и определяет правила создания и поддержания защитных сооружений и других объектов гражданской обороны в мирное время, в период мобилизации и в военное время.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2. Защитное сооружение гражданской обороны - специальное сооружение, предназначенное для защиты населения, личного состава сил гражданской обороны, а также техники и имущества гражданской обороны от воздействий средств нападения противника.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Защитные сооружения гражданской обороны предназначены для защиты укрываемых в военное время и при чрезвычайных ситуациях мирного времени. Защитные сооружения гражданской обороны, в зависимости от назначения, должны обеспечивать защиту укрываемых от поражающих факторов ядерных средств поражения, действия обычных средств поражения и их можно использовать в мирное время для хозяйственных нужд и обслуживания населения.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3. К объектам гражданской обороны относятся: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аварийно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противорадиационное укрытие - защитное сооружение гражданской обороны, предназначенное для защиты укрываемых от воздействия ионизирующих излучений при радиоактивном загрязнении местности и допускающее непрерывное пребывание в нем укрываемых в течение нормативного времени;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укрытие 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4) </w:t>
      </w:r>
      <w:bookmarkStart w:id="1" w:name="ext-gen1237"/>
      <w:bookmarkEnd w:id="1"/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специализированное складское помещение (место хранения) - помещение, предназначенное для хранения размещенного в нем имущества гражданской обороны и выдачи его в установленном порядке;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5) </w:t>
      </w:r>
      <w:bookmarkStart w:id="2" w:name="p_2107"/>
      <w:bookmarkStart w:id="3" w:name="ext-gen1238"/>
      <w:bookmarkEnd w:id="2"/>
      <w:bookmarkEnd w:id="3"/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санитарно-обмывочный пункт - комплекс помещений, технических и материальных средств, предназначенных для смены одежды, обуви, санитарной обработки населения, контроля радиоактивного загрязнения кожных покровов, средств индивидуальной защиты, специальной и личной одежды людей;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6) станция обеззараживания одежды - комплекс помещений, технических и материальных средств, предназначенных для специальной обработки одежды, обуви, а также для пропитки одежды защитными составами;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7) станция обеззараживания техники - комплекс помещений, технических и материальных средств, предназначенных для специальной обработки подвижного состава транспорта;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8) заглубленное помещение, приспособленное для укрытия населения, -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9) иные объекты гражданской обороны - объекты, предназначенные для обеспечения проведения мероприятий по гражданской обороне, в том числе для санитарной обработки людей и животных, дезактивации дорог, зданий и сооружений, специальной обработки одежды, транспортных средств и других неотложных работ.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Под населением понимаются граждане Российской Федерации, иностранные граждане и лица без гражданства, находящиеся на территории Российской Федерации.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4. Исполнительный комитет в границах муниципального образования: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по согласованию с территориальными органами Министерства Российской Федерации по делам гражданской обороны, чрезвычайным ситуациям и ликвидации последствий стихийных бедствий определяют общую потребность в объектах гражданской обороны;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в мирное время создают, сохраняют существующие объекты гражданской обороны и поддерживают их в состоянии готовности к использованию;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осуществляют контроль за созданием объектов гражданской обороны и поддержанием их в состоянии готовности к использованию;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4) ведут учет существующих и создаваемых объектов гражданской обороны.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5.</w:t>
      </w:r>
      <w:bookmarkStart w:id="4" w:name="p_38"/>
      <w:bookmarkEnd w:id="4"/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 Организации: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создают в мирное время по согласованию с федеральными органами исполнительной власти, исполнительными органами Республики Татарстан и Исполнительным комитетом, в сфере ведения которых они находятся, объекты гражданской обороны;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обеспечивают сохранность существующих объектов гражданской обороны, используемых в качестве защитных сооружений гражданской обороны, принимают меры по поддержанию их в состоянии готовности к использованию и по поддержанию в состоянии постоянной готовности к использованию убежищ, создаваемых в соответствии с пунктами 8, 9, 10 настоящего Положения;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ведут учет существующих и создаваемых объектов гражданской обороны, которыми организация владеет и пользуется на праве собственности или на ином законном основании.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6. Управление городского хозяйства и жизнеобеспечения населения Исполнительного комитета организует взаимодействие с управляющими организациями и товариществами собственников жилья по вопросам использования и приспосабливания заглубленных помещений и других сооружений подземного пространства, а также подвальных, цокольных этажей зданий и сооружений различного назначения под укрытия для населения от фугасного и осколочного действия обычных средств поражения, в том числе от поражения обломками строительных конструкций от обрушения вышерасположенных этажей зданий различной этажности.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7. Управляющие организации и товарищества собственников жилья, осуществляющие свою деятельность по управлению жилыми домами на территории города, приспосабливают и обеспечивают использование заглубленных помещений и других сооружений подземного пространства, а также подвальные, цокольные этажи зданий и сооружений различного назначения под укрытия для населения от фугасного и осколочного действия обычных средств поражения, в том числе от поражения обломками строительных конструкций от обрушения вышерасположенных этажей зданий различной этажности.</w:t>
      </w:r>
    </w:p>
    <w:p>
      <w:pPr>
        <w:pStyle w:val="BodyText"/>
        <w:spacing w:lineRule="auto" w:line="240" w:before="0" w:after="0"/>
        <w:jc w:val="center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spacing w:lineRule="auto" w:line="240" w:before="0" w:after="0"/>
        <w:jc w:val="center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Глава 2. Создание защитных сооружений и других объектов гражданской обороны</w:t>
      </w:r>
    </w:p>
    <w:p>
      <w:pPr>
        <w:pStyle w:val="BodyText"/>
        <w:spacing w:lineRule="auto" w:line="240" w:before="0" w:after="0"/>
        <w:jc w:val="center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ab/>
        <w:t>8. Убежища создаются: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для максимальной по численности работающей в военное время смены работников организации, имеющей мобилизационное задание (заказ) (далее - наибольшая работающая смена организации) и отнесенной к категории особой важности по гражданской обороне, независимо от места ее расположения, а также для наибольшей работающей смены организации, отнесенной к первой или второй категории по гражданской обороне и расположенной на территории, отнесенной к группе по гражданской обороне, за исключением наибольшей работающей смены метрополитена, обеспечивающего прием и укрытие населения в сооружениях метрополитена, используемых в качестве защитных сооружений гражданской обороны, и медицинского персонала, обслуживающего нетранспортабельных больных;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для работников максимальной по численности работающей в мирное время смены организации, эксплуатирующей ядерные установки (атомные станции), включая работников организации, обеспечивающей ее функционирование и жизнедеятельность и находящейся на ее территории в пределах периметра защищенной зоны.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9. </w:t>
      </w:r>
      <w:bookmarkStart w:id="5" w:name="p_1625"/>
      <w:bookmarkEnd w:id="5"/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Противорадиационные укрытия создаются: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загрязнения за пределами территории, отнесенной к группе по гражданской обороне;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загрязнения.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10. </w:t>
      </w:r>
      <w:bookmarkStart w:id="6" w:name="p_1469"/>
      <w:bookmarkEnd w:id="6"/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Укрытия создаются: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загрязнения;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11. Для совместного укрытия населения, не указанного в пунктах 8, 9, 10 настоящего Положения, и наибольшей работающей смены организации, обеспечивающей прием и укрытие населения, используются имеющиеся защитные сооружения гражданской обороны, а при их отсутствии - заглубленные помещения, прис</w:t>
      </w:r>
      <w:r>
        <w:rPr>
          <w:rStyle w:val="FontStyle12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пособленные для укрытия населения.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12. </w:t>
      </w:r>
      <w:r>
        <w:fldChar w:fldCharType="begin"/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instrText xml:space="preserve"> HYPERLINK "https://ivo.garant.ru/" \l "/document/181232/entry/204"</w:instrText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fldChar w:fldCharType="separate"/>
      </w:r>
      <w:bookmarkStart w:id="7" w:name="ext-gen1365"/>
      <w:bookmarkEnd w:id="7"/>
      <w:r>
        <w:rPr>
          <w:rStyle w:val="ListLabel1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Специализированные складские помещения</w:t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fldChar w:fldCharType="end"/>
      </w:r>
      <w:r>
        <w:rPr>
          <w:rStyle w:val="FontStyle12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(места хранения) создаются для хранения средств индивидуальной и медицинской защиты, приборов радиационной и химической разведки, радиационного контроля и другого имущества гражданской обороны.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13. </w:t>
      </w:r>
      <w:r>
        <w:fldChar w:fldCharType="begin"/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instrText xml:space="preserve"> HYPERLINK "https://ivo.garant.ru/" \l "/document/181232/entry/205"</w:instrText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fldChar w:fldCharType="separate"/>
      </w:r>
      <w:r>
        <w:rPr>
          <w:rStyle w:val="ListLabel1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Санитарно-обмывочные пункты</w:t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fldChar w:fldCharType="end"/>
      </w:r>
      <w:r>
        <w:rPr>
          <w:rStyle w:val="FontStyle12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, </w:t>
      </w:r>
      <w:r>
        <w:fldChar w:fldCharType="begin"/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instrText xml:space="preserve"> HYPERLINK "https://ivo.garant.ru/" \l "/document/181232/entry/206"</w:instrText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fldChar w:fldCharType="separate"/>
      </w:r>
      <w:r>
        <w:rPr>
          <w:rStyle w:val="ListLabel1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станции обеззараживания одежд</w:t>
      </w:r>
      <w:r>
        <w:rPr>
          <w:rStyle w:val="ListLabel1"/>
          <w:sz w:val="28"/>
          <w:kern w:val="0"/>
          <w:szCs w:val="28"/>
          <w:rFonts w:eastAsia="Calibri" w:cs="Times New Roman" w:ascii="Times New Roman" w:hAnsi="Times New Roman"/>
          <w:color w:val="auto"/>
          <w:lang w:val="ru-RU" w:eastAsia="en-US" w:bidi="ar-SA"/>
        </w:rPr>
        <w:fldChar w:fldCharType="end"/>
      </w:r>
      <w:r>
        <w:rPr>
          <w:rStyle w:val="FontStyle12"/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ы и техники и иные объекты гражданской обороны создаются для обеспечения радиационной, химической, биологической и медицинской защиты и первоочередного жизнеобеспечения населения, санитарной обработки людей и животных, дезактивации дорог, зданий и сооружений, специальной обработки одежды и транспортных средств.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14. Создание объектов гражданской обороны в период мобилизации и в военное время осуществляется в соответствии с планами гражданской обороны федеральных органов исполнительной власти и организаций, планами гражданской обороны и защиты населения Республики Татарстан и муниципального образования город Набережные Челны;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15. </w:t>
      </w:r>
      <w:bookmarkStart w:id="8" w:name="p_2129"/>
      <w:bookmarkEnd w:id="8"/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Создание объектов гражданской обороны осуществляется путем: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строительства новых объектов гражданской обороны, в том числе возведения быстровозводимых объектов гражданской обороны, с применением полносборных железобетонных сооружений и конструкций, изделий блок-модульного типа или других материалов;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реконструкции, капитального ремонта существующих объектов капитального строительства или их частей с целью приведения в соответствие с требованиями, предъявляемыми к объектам гражданской обороны (приспособление);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подтверждения соответствия объекта капитального строительства или его частей требованиям, предъявляемым к объектам гражданской обороны;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4) приспособления зданий, сооружений и других сооружений подземного пространства для укрытия населения;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16. В мирное время объекты гражданской обороны в установленном порядке могут использоваться в интересах экономики и обслуживания населения, а также для защиты населения от поражающих факторов, вызванных чрезвычайными ситуациями природного и техногенного характера, с сохранением возможности приведения их в заданные сроки в состояние готовности к использованию по назначению.</w:t>
      </w:r>
    </w:p>
    <w:p>
      <w:pPr>
        <w:pStyle w:val="BodyText"/>
        <w:spacing w:lineRule="auto" w:line="240" w:before="0" w:after="0"/>
        <w:jc w:val="both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BodyText"/>
        <w:spacing w:lineRule="auto" w:line="240" w:before="0" w:after="0"/>
        <w:jc w:val="center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Глава 3. Содержание и использование защитных сооружений гражданской обороны</w:t>
      </w:r>
    </w:p>
    <w:p>
      <w:pPr>
        <w:pStyle w:val="BodyText"/>
        <w:spacing w:lineRule="auto" w:line="240" w:before="0" w:after="0"/>
        <w:jc w:val="center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17. Содержание защитных сооружений гражданской обороны в мирное время обязано обеспечить постоянную готовность помещений и оборудования систем жизнеобеспечения к переводу их в установленные сроки к использованию по предназначению и необходимые условия для безопасного пребывания укрываемых в защитных сооружениях гражданской обороны, как в военное время, так и в условиях чрезвычайных ситуаций мирного времени. Для поддержания защитных сооружений гражданской обороны в готовности к использованию по предназначению в организациях создаются группы (звенья) по их обслуживанию. При этом необходимо обеспечить сохранность: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1) защитных свойств как защитных сооружений гражданской обороны в целом, так и отдельных его элементов;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2) герметизации и гидроизоляции всего защитных сооружений гражданской обороны;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инженерно-технического и специального оборудования, средств связи и оповещения защитных сооружений гражданской обороны.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18. При содержании защитных сооружений гражданской обороны в мирное время запрещается: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1) перепланировка помещений;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2) устройство отверстий или проемов в ограждающих конструкциях;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3) нарушение герметизации и гидроизоляции;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4) демонтаж оборудования; применение горючих строительных материалов для внутренней отделки помещений;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5) загромождение путей движения, входов в защитных сооружениях гражданской обороны и аварийных выходов;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6) оштукатуривание потолков и стен помещений;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7) облицовка стен керамической плиткой;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8) 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 изготовителя и техническими данными инженерно-технического и специального оборудования;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9) застройка территории вблизи входов, аварийных выходов и наружных воздухозаборных и вытяжных устройств защитных сооружений гражданской обороны на расстоянии менее предусмотренное проектной документацией.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19. Допускается устройство в помещениях защитных сооружений гражданской обороны временных легко съемных перегородок из негорючих и нетоксичных материалов с учетом возможности их демонтажа в период приведения защитных сооружений гражданской обороны в готовность к приему укрываемых, но не более чем за 6 часов.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20. Инженерно-техническое и специальное оборудование, средства связи и оповещения защитных сооружений гражданской обороны необходимо содержать в исправном состоянии и готовности к использованию по назначению.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21. Содержание, эксплуатация, текущий и плановый ремонты инженерно- технического и специального оборудования, средств связи и оповещения осуществляются в соответствии с технической документацией.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22. Использование систем воздухоснабжения защитных сооружений гражданской обороны в мирное время допускается только по режиму чистой вентиляции.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22. В мирное время запрещается использование следующих элементов инженерно-технического и специального оборудования защитных сооружений гражданской обороны: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вентиляционных систем защищенной дизельной электростанции;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фильтров-поглотителей;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предфильтров;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4) фильтров для очистки воздуха от окиси углерода;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5) средств регенерации воздуха;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6) гравийных воздухоохладителей;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7) аварийных резервуаров для сбора фекалий. Задвижки на выпусках из резервуаров должны быть закрыты.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23. При использовании защитных сооружений гражданской обороны в мирное время необходимо: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поддерживать температуру в помещениях в соответствии с требованиями проекта;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обеспечить защиту от атмосферных осадков и поверхностных вод входов и аварийных выходов;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проводить окраску и ремонт помещений и оборудования систем жизнеобеспечения в соответствии с установленными правилами;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4) закрыть и опечатать герметические клапаны, установленные до и после фильтров поглотителей, устройств регенерации и фильтров для очистки воздуха от окиси углерода;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5) обеспечить в напорных емкостях аварийного запаса питьевой воды проток воды с полным обменом ее в течение 2 суток;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6) содержать емкости запаса для питьевой воды технически исправными;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7) закрыть и опечатать вспомогательные помещения, а также санузлы, не используемые в хозяйственных целях;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8) законсервировать дизельные электростанции;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9) обеспечить открываемые защитно-герметические и герметические ворота и двери подставками.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24. При использовании защитных сооружений гражданской обороны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защитных сооружений гражданской обороны в мирное время.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25. Основные помещения защитных сооружений гражданской обороны разрешается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санитарно-бытовые помещения;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помещения культурного обслуживания и помещения для учебных занятий;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производственные помещения, в которых осуществляются технологические процессы, не сопровождающиеся выделением вредных жидкостей, паров и газов, опасных для людей и не требующие естественного освещения;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4) технологические, транспортные и пешеходные тоннели;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5) помещения дежурных электриков, связистов, ремонтных бригад;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6) гаражи для легковых автомобилей, подземные стоянки автокаров и автомобилей;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7) складские помещения для хранения несгораемых, а также для сгораемых материалов при наличии автоматической системы пожаротушения;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8) помещения торговли и питания (магазины, залы столовых, буфеты, кафе, закусочные и др.);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9) спортивные помещения (стрелковые тиры и залы для спортивных занятий);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10) помещения бытового обслуживания населения (ателье, мастерские, приемные пункты и др.);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11) вспомогательные (подсобные) помещения лечебных учреждений.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26.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защитных сооружений гражданской обороны для его осмотра, обслуживания и ремонта.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27. Вспомогательные помещения защитных сооружений гражданской обороны использовать в мирное время запрещается, за исключением помещений санузлов.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28. Оценка технического состояния защитных сооружений гражданской обороны осуществляется при ежегодных, специальных (внеочередных) осмотрах, комплексных оценках технического состояния и инвентаризации.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29. Ежегодные и специальные осмотры производятся в порядке, устанавливаемом руководителем организации, эксплуатирующей защитное сооружение гражданской обороны.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30. Специальные осмотры проводятся после пожаров, землетрясений, ураганов, ливней и наводнений.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31. При осмотрах защитных сооружений гражданской обороны должны оцениваться: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общее состояние сооружения и состояние входов, аварийных выходов, воздухозаборных и выхлопных каналов;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исправность дверей (ворот, ставней) и механизмов задраивания;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3) исправность защитных устройств, систем вентиляции, водоснабжения, канализации, электроснабжения, связи, автоматики и другого оборудования; использование площадей помещений для нужд экономики и обслуживания населения;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4) наличие и состояние средств пожаротушения;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5) наличие проектной документации.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32. Комплексная оценка технического состояния защитных сооружений гражданской обороны проводится один раз в три года организацией, эксплуатирующей защитное сооружение гражданской обороны.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33. Исполнительный комитет составляет перспективные планы проведения оценок технического состояния. При этом оценивается: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1) герметичность убежища;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2) работоспособность всех систем инженерно-технического оборудования и защитных устройств;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3) возможность приведения защитного сооружения в готовность в соответствии с планом;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4) эксплуатация в режиме защитных сооружений гражданской обороны в течение 6 часов с оценкой технического состояния работы по режимам чистой вентиляции и фильтровентиляции; 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5) наличие проектной документации.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34. Для проведения комплексных проверок защитных сооружений гражданской обороны рекомендуется привлекать организации, имеющие лицензии на данный вид деятельности, которые обязаны выдавать заключения с определением качественного состояния проверяемого оборудования и выдачей рекомендаций по его дальнейшему использованию по предназначению.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35. Руководители гражданской обороны организаций, эксплуатирующих защитные сооружения гражданской обороны, планируют и осуществляют оценку технического состояния защитных сооружений гражданской обороны.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36. Результаты оценки технического состояния защитных сооружений гражданской обороны оформляются актом (приложение № 1 к настоящему приложению). При обнаружении неисправностей и дефектов строительных и ограждающих конструкций, оборудования технических систем или их отдельных элементов составляется ведомость дефектов (приложение № 2 к настоящему приложению). Кроме того, недостатки, выявленные в ходе оценки технического состояния защитных сооружений гражданской обороны, предложения по их устранению отражаются в журнале оценки технического состояния защитных сооружений гражданской обороны (приложение № 3 к настоящему приложению).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37. На основании акта и ведомости дефектов составляются годовые планы планово-предупредительных ремонтов технических средств и строительных конструкций.</w:t>
      </w:r>
    </w:p>
    <w:p>
      <w:pPr>
        <w:pStyle w:val="ListParagraph"/>
        <w:spacing w:lineRule="auto" w:line="240" w:before="0" w:after="0"/>
        <w:ind w:firstLine="709" w:left="0" w:right="100"/>
        <w:contextualSpacing/>
        <w:jc w:val="both"/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40" w:before="0" w:after="0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Заместитель Руководителя Аппарата, </w:t>
      </w:r>
    </w:p>
    <w:p>
      <w:pPr>
        <w:pStyle w:val="Normal"/>
        <w:spacing w:lineRule="auto" w:line="240" w:before="0" w:after="0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 xml:space="preserve">начальник управления делопроизводством </w:t>
      </w:r>
    </w:p>
    <w:p>
      <w:pPr>
        <w:pStyle w:val="Normal"/>
        <w:spacing w:lineRule="auto" w:line="240" w:before="0" w:after="0"/>
        <w:rPr/>
      </w:pPr>
      <w:r>
        <w:rPr>
          <w:rStyle w:val="FontStyle12"/>
          <w:rFonts w:eastAsia="Times New Roman"/>
          <w:color w:val="auto"/>
          <w:kern w:val="0"/>
          <w:sz w:val="28"/>
          <w:szCs w:val="28"/>
          <w:lang w:val="ru-RU" w:eastAsia="ru-RU" w:bidi="ar-SA"/>
        </w:rPr>
        <w:t>Исполнительного комитета                                                                              Н.И. Галиева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Приложение № 1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к положению о создании и поддержании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в состоянии постоянной готовности к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использованию защитных сооружений и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других объектов гражданской обороны на</w:t>
      </w:r>
    </w:p>
    <w:p>
      <w:pPr>
        <w:pStyle w:val="Normal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территории города Набережные Челны</w:t>
      </w:r>
    </w:p>
    <w:p>
      <w:pPr>
        <w:pStyle w:val="Normal"/>
        <w:bidi w:val="0"/>
        <w:spacing w:before="0" w:after="0"/>
        <w:ind w:right="0"/>
        <w:jc w:val="center"/>
        <w:rPr>
          <w:rFonts w:ascii="Nimbus Roman" w:hAnsi="Nimbus Roman"/>
          <w:spacing w:val="40"/>
          <w:sz w:val="32"/>
          <w:szCs w:val="32"/>
        </w:rPr>
      </w:pPr>
      <w:r>
        <w:rPr>
          <w:rFonts w:ascii="Nimbus Roman" w:hAnsi="Nimbus Roman"/>
          <w:spacing w:val="40"/>
          <w:sz w:val="32"/>
          <w:szCs w:val="32"/>
        </w:rPr>
      </w:r>
    </w:p>
    <w:p>
      <w:pPr>
        <w:pStyle w:val="Normal"/>
        <w:bidi w:val="0"/>
        <w:spacing w:before="0" w:after="0"/>
        <w:ind w:right="0"/>
        <w:jc w:val="center"/>
        <w:rPr>
          <w:rFonts w:ascii="Nimbus Roman" w:hAnsi="Nimbus Roman"/>
          <w:spacing w:val="40"/>
          <w:sz w:val="24"/>
          <w:szCs w:val="24"/>
        </w:rPr>
      </w:pPr>
      <w:r>
        <w:rPr>
          <w:rFonts w:ascii="Nimbus Roman" w:hAnsi="Nimbus Roman"/>
          <w:spacing w:val="40"/>
          <w:sz w:val="24"/>
          <w:szCs w:val="24"/>
        </w:rPr>
        <w:t>АКТ</w:t>
      </w:r>
    </w:p>
    <w:p>
      <w:pPr>
        <w:pStyle w:val="Normal"/>
        <w:bidi w:val="0"/>
        <w:spacing w:before="0" w:after="0"/>
        <w:ind w:right="0"/>
        <w:jc w:val="center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оценки содержания и использования</w:t>
      </w:r>
    </w:p>
    <w:tbl>
      <w:tblPr>
        <w:tblW w:w="884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5"/>
        <w:gridCol w:w="1422"/>
      </w:tblGrid>
      <w:tr>
        <w:trPr>
          <w:trHeight w:val="240" w:hRule="atLeast"/>
        </w:trPr>
        <w:tc>
          <w:tcPr>
            <w:tcW w:w="7425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57" w:after="86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защитного сооружения гражданской обороны, инв. 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"/>
        <w:gridCol w:w="3360"/>
        <w:gridCol w:w="2519"/>
        <w:gridCol w:w="461"/>
        <w:gridCol w:w="322"/>
        <w:gridCol w:w="1675"/>
        <w:gridCol w:w="719"/>
        <w:gridCol w:w="361"/>
        <w:gridCol w:w="395"/>
      </w:tblGrid>
      <w:tr>
        <w:trPr>
          <w:trHeight w:val="240" w:hRule="atLeast"/>
        </w:trPr>
        <w:tc>
          <w:tcPr>
            <w:tcW w:w="378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г.</w:t>
            </w:r>
          </w:p>
        </w:tc>
        <w:tc>
          <w:tcPr>
            <w:tcW w:w="336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19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«</w:t>
            </w:r>
          </w:p>
        </w:tc>
        <w:tc>
          <w:tcPr>
            <w:tcW w:w="46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22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»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719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95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г.</w:t>
            </w:r>
          </w:p>
        </w:tc>
      </w:tr>
    </w:tbl>
    <w:p>
      <w:pPr>
        <w:pStyle w:val="Normal"/>
        <w:widowControl w:val="false"/>
        <w:bidi w:val="0"/>
        <w:ind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8"/>
        <w:gridCol w:w="2742"/>
        <w:gridCol w:w="141"/>
        <w:gridCol w:w="3289"/>
      </w:tblGrid>
      <w:tr>
        <w:trPr>
          <w:trHeight w:val="240" w:hRule="atLeast"/>
        </w:trPr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Комиссия в составе: председателя</w:t>
            </w:r>
          </w:p>
        </w:tc>
        <w:tc>
          <w:tcPr>
            <w:tcW w:w="274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42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3289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(должность)</w:t>
            </w:r>
          </w:p>
        </w:tc>
      </w:tr>
      <w:tr>
        <w:trPr>
          <w:trHeight w:val="240" w:hRule="atLeast"/>
        </w:trPr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17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членов комиссии</w:t>
            </w:r>
          </w:p>
        </w:tc>
        <w:tc>
          <w:tcPr>
            <w:tcW w:w="274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42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3289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(должность)</w:t>
            </w:r>
          </w:p>
        </w:tc>
      </w:tr>
      <w:tr>
        <w:trPr>
          <w:trHeight w:val="240" w:hRule="atLeast"/>
        </w:trPr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17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74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42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3289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(должность)</w:t>
            </w:r>
          </w:p>
        </w:tc>
      </w:tr>
      <w:tr>
        <w:trPr>
          <w:trHeight w:val="240" w:hRule="atLeast"/>
        </w:trPr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17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74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401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42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  <w:tc>
          <w:tcPr>
            <w:tcW w:w="14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3289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(должность)</w:t>
            </w:r>
          </w:p>
        </w:tc>
      </w:tr>
    </w:tbl>
    <w:p>
      <w:pPr>
        <w:pStyle w:val="Normal"/>
        <w:bidi w:val="0"/>
        <w:ind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проверила содержание и использование защитного сооружения гражданской обороны,              расположенного по адресу: </w:t>
      </w:r>
    </w:p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"/>
        <w:gridCol w:w="187"/>
        <w:gridCol w:w="210"/>
        <w:gridCol w:w="378"/>
        <w:gridCol w:w="407"/>
        <w:gridCol w:w="503"/>
        <w:gridCol w:w="1484"/>
        <w:gridCol w:w="295"/>
        <w:gridCol w:w="781"/>
        <w:gridCol w:w="570"/>
        <w:gridCol w:w="62"/>
        <w:gridCol w:w="2083"/>
        <w:gridCol w:w="605"/>
        <w:gridCol w:w="415"/>
        <w:gridCol w:w="2040"/>
        <w:gridCol w:w="50"/>
      </w:tblGrid>
      <w:tr>
        <w:trPr>
          <w:trHeight w:val="240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0020" w:type="dxa"/>
            <w:gridSpan w:val="14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50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,</w:t>
            </w:r>
          </w:p>
        </w:tc>
      </w:tr>
      <w:tr>
        <w:trPr>
          <w:trHeight w:val="240" w:hRule="atLeast"/>
        </w:trPr>
        <w:tc>
          <w:tcPr>
            <w:tcW w:w="895" w:type="dxa"/>
            <w:gridSpan w:val="4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инв. №</w:t>
            </w:r>
          </w:p>
        </w:tc>
        <w:tc>
          <w:tcPr>
            <w:tcW w:w="2394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6901" w:type="dxa"/>
            <w:gridSpan w:val="9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и установила: защитное сооружение принято в эксплуатацию</w:t>
            </w:r>
          </w:p>
        </w:tc>
      </w:tr>
      <w:tr>
        <w:trPr>
          <w:trHeight w:val="240" w:hRule="atLeast"/>
        </w:trPr>
        <w:tc>
          <w:tcPr>
            <w:tcW w:w="30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в</w:t>
            </w:r>
          </w:p>
        </w:tc>
        <w:tc>
          <w:tcPr>
            <w:tcW w:w="995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3633" w:type="dxa"/>
            <w:gridSpan w:val="5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году и находится на балансе</w:t>
            </w:r>
          </w:p>
        </w:tc>
        <w:tc>
          <w:tcPr>
            <w:tcW w:w="5205" w:type="dxa"/>
            <w:gridSpan w:val="5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50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.</w:t>
            </w:r>
          </w:p>
        </w:tc>
      </w:tr>
      <w:tr>
        <w:trPr>
          <w:trHeight w:val="240" w:hRule="atLeast"/>
        </w:trPr>
        <w:tc>
          <w:tcPr>
            <w:tcW w:w="4935" w:type="dxa"/>
            <w:gridSpan w:val="10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Защитное сооружение гражданской обороны передано в аренду</w:t>
            </w:r>
          </w:p>
        </w:tc>
        <w:tc>
          <w:tcPr>
            <w:tcW w:w="5255" w:type="dxa"/>
            <w:gridSpan w:val="6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805" w:type="dxa"/>
            <w:gridSpan w:val="6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по договору №</w:t>
            </w:r>
          </w:p>
        </w:tc>
        <w:tc>
          <w:tcPr>
            <w:tcW w:w="1779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781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от «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62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»</w:t>
            </w:r>
          </w:p>
        </w:tc>
        <w:tc>
          <w:tcPr>
            <w:tcW w:w="2083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605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</w:p>
        </w:tc>
        <w:tc>
          <w:tcPr>
            <w:tcW w:w="415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090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г. и используется</w:t>
            </w:r>
          </w:p>
        </w:tc>
      </w:tr>
      <w:tr>
        <w:trPr>
          <w:trHeight w:val="240" w:hRule="atLeast"/>
        </w:trPr>
        <w:tc>
          <w:tcPr>
            <w:tcW w:w="51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для</w:t>
            </w:r>
          </w:p>
        </w:tc>
        <w:tc>
          <w:tcPr>
            <w:tcW w:w="9673" w:type="dxa"/>
            <w:gridSpan w:val="1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340" w:right="0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1. Наличие необходимой документации, лица, ответственного за содержание защитного сооружения гражданской обороны и группы (звена) по обслуживанию защитного                               сооружения гражданской обороны</w:t>
      </w:r>
    </w:p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2"/>
        <w:gridCol w:w="665"/>
        <w:gridCol w:w="5393"/>
      </w:tblGrid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132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2. Состояние системы вентиляции:</w:t>
            </w:r>
          </w:p>
        </w:tc>
        <w:tc>
          <w:tcPr>
            <w:tcW w:w="6058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797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3. Состояние системы энергоснабжения:</w:t>
            </w:r>
          </w:p>
        </w:tc>
        <w:tc>
          <w:tcPr>
            <w:tcW w:w="5393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ind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319"/>
        <w:gridCol w:w="5610"/>
      </w:tblGrid>
      <w:tr>
        <w:trPr>
          <w:trHeight w:val="240" w:hRule="atLeast"/>
        </w:trPr>
        <w:tc>
          <w:tcPr>
            <w:tcW w:w="458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4. Состояние системы водоснабжения:</w:t>
            </w:r>
          </w:p>
        </w:tc>
        <w:tc>
          <w:tcPr>
            <w:tcW w:w="561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261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5. Состояние системы канализации:</w:t>
            </w:r>
          </w:p>
        </w:tc>
        <w:tc>
          <w:tcPr>
            <w:tcW w:w="5929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bidi w:val="0"/>
        <w:ind w:firstLine="340" w:right="0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6. Общее состояние защитного сооружения гражданской обороны (конструкции, протечки, герметичность): </w:t>
      </w:r>
    </w:p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7"/>
        <w:gridCol w:w="677"/>
        <w:gridCol w:w="2356"/>
        <w:gridCol w:w="4570"/>
      </w:tblGrid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562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7. Замечания по содержанию и использованию:</w:t>
            </w:r>
          </w:p>
        </w:tc>
        <w:tc>
          <w:tcPr>
            <w:tcW w:w="457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587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8. Выводы комиссии:</w:t>
            </w:r>
          </w:p>
        </w:tc>
        <w:tc>
          <w:tcPr>
            <w:tcW w:w="7603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3264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9. Предложения комиссии:</w:t>
            </w:r>
          </w:p>
        </w:tc>
        <w:tc>
          <w:tcPr>
            <w:tcW w:w="6926" w:type="dxa"/>
            <w:gridSpan w:val="2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0190" w:type="dxa"/>
            <w:gridSpan w:val="4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tbl>
      <w:tblPr>
        <w:tblW w:w="10190" w:type="dxa"/>
        <w:jc w:val="left"/>
        <w:tblInd w:w="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8"/>
        <w:gridCol w:w="420"/>
        <w:gridCol w:w="2701"/>
        <w:gridCol w:w="126"/>
        <w:gridCol w:w="125"/>
        <w:gridCol w:w="1442"/>
        <w:gridCol w:w="112"/>
        <w:gridCol w:w="2786"/>
      </w:tblGrid>
      <w:tr>
        <w:trPr>
          <w:trHeight w:val="240" w:hRule="atLeast"/>
        </w:trPr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</w:tr>
      <w:tr>
        <w:trPr>
          <w:trHeight w:val="240" w:hRule="atLeast"/>
        </w:trPr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17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Члены комиссии: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</w:tr>
      <w:tr>
        <w:trPr>
          <w:trHeight w:val="240" w:hRule="atLeast"/>
        </w:trPr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17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</w:tr>
      <w:tr>
        <w:trPr>
          <w:trHeight w:val="240" w:hRule="atLeast"/>
        </w:trPr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17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01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251" w:type="dxa"/>
            <w:gridSpan w:val="2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4340" w:type="dxa"/>
            <w:gridSpan w:val="3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</w:tr>
      <w:tr>
        <w:trPr>
          <w:trHeight w:val="240" w:hRule="atLeast"/>
        </w:trPr>
        <w:tc>
          <w:tcPr>
            <w:tcW w:w="2478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С актом ознакомлен:</w:t>
            </w:r>
          </w:p>
        </w:tc>
        <w:tc>
          <w:tcPr>
            <w:tcW w:w="3247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25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44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12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78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47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(должность)</w:t>
            </w:r>
          </w:p>
        </w:tc>
        <w:tc>
          <w:tcPr>
            <w:tcW w:w="125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112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86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</w:tr>
      <w:tr>
        <w:trPr>
          <w:trHeight w:val="240" w:hRule="atLeast"/>
        </w:trPr>
        <w:tc>
          <w:tcPr>
            <w:tcW w:w="2478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Копию акта получил:</w:t>
            </w:r>
          </w:p>
        </w:tc>
        <w:tc>
          <w:tcPr>
            <w:tcW w:w="3247" w:type="dxa"/>
            <w:gridSpan w:val="3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25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442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12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786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478" w:type="dxa"/>
            <w:tcBorders/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(должность)</w:t>
            </w:r>
          </w:p>
        </w:tc>
        <w:tc>
          <w:tcPr>
            <w:tcW w:w="125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1442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112" w:type="dxa"/>
            <w:tcBorders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napToGrid w:val="false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786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widowControl w:val="false"/>
              <w:bidi w:val="0"/>
              <w:spacing w:before="0" w:after="200"/>
              <w:ind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(фамилия, и., о.)</w:t>
            </w:r>
          </w:p>
        </w:tc>
      </w:tr>
    </w:tbl>
    <w:p>
      <w:pPr>
        <w:pStyle w:val="Normal"/>
        <w:bidi w:val="0"/>
        <w:ind w:right="0"/>
        <w:rPr>
          <w:sz w:val="26"/>
          <w:szCs w:val="26"/>
        </w:rPr>
      </w:pPr>
      <w:r>
        <w:rPr>
          <w:rStyle w:val="FontStyle12"/>
          <w:rFonts w:eastAsia="Times New Roman" w:ascii="Nimbus Roman" w:hAnsi="Nimbus Roman"/>
          <w:color w:val="auto"/>
          <w:kern w:val="0"/>
          <w:sz w:val="24"/>
          <w:szCs w:val="24"/>
          <w:lang w:val="ru-RU" w:eastAsia="ru-RU" w:bidi="ar-SA"/>
        </w:rPr>
        <w:t>Примечание: настоящий акт может быть дополнен с учетом особенностей защитного сооружения гражданской обороны.</w:t>
      </w:r>
    </w:p>
    <w:p>
      <w:pPr>
        <w:pStyle w:val="Normal"/>
        <w:spacing w:lineRule="auto" w:line="240" w:before="0" w:after="0"/>
        <w:rPr>
          <w:rStyle w:val="FontStyle12"/>
          <w:rFonts w:ascii="Nimbus Roman" w:hAnsi="Nimbus Roman"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rPr>
          <w:rStyle w:val="FontStyle12"/>
          <w:rFonts w:ascii="Nimbus Roman" w:hAnsi="Nimbus Roman"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rPr>
          <w:rStyle w:val="FontStyle12"/>
          <w:rFonts w:ascii="Nimbus Roman" w:hAnsi="Nimbus Roman" w:eastAsia="Times New Roman"/>
          <w:color w:val="auto"/>
          <w:kern w:val="0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 xml:space="preserve">Приложение № </w:t>
      </w:r>
      <w:r>
        <w:rPr>
          <w:rFonts w:ascii="Nimbus Roman" w:hAnsi="Nimbus Roman"/>
          <w:sz w:val="26"/>
          <w:szCs w:val="26"/>
        </w:rPr>
        <w:t>2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к положению о создании и поддержании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в состоянии постоянной готовности к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использованию защитных сооружений и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других объектов гражданской обороны на</w:t>
      </w:r>
    </w:p>
    <w:p>
      <w:pPr>
        <w:pStyle w:val="Normal"/>
        <w:ind w:right="0"/>
        <w:rPr>
          <w:rFonts w:ascii="Nimbus Roman" w:hAnsi="Nimbus Roman"/>
          <w:sz w:val="26"/>
          <w:szCs w:val="26"/>
        </w:rPr>
      </w:pPr>
      <w:r>
        <w:rPr>
          <w:rStyle w:val="FontStyle12"/>
          <w:rFonts w:eastAsia="Times New Roman" w:ascii="Nimbus Roman" w:hAnsi="Nimbus Roman"/>
          <w:color w:val="auto"/>
          <w:kern w:val="0"/>
          <w:sz w:val="26"/>
          <w:szCs w:val="26"/>
          <w:lang w:val="ru-RU" w:eastAsia="ru-RU" w:bidi="ar-SA"/>
        </w:rPr>
        <w:tab/>
        <w:tab/>
        <w:tab/>
        <w:tab/>
        <w:tab/>
        <w:tab/>
        <w:tab/>
        <w:t>территории города Набережные Челны</w:t>
      </w:r>
    </w:p>
    <w:p>
      <w:pPr>
        <w:pStyle w:val="Normal"/>
        <w:ind w:hanging="0" w:left="0" w:right="0"/>
        <w:jc w:val="center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pacing w:val="40"/>
          <w:sz w:val="24"/>
          <w:szCs w:val="24"/>
        </w:rPr>
        <w:t>ВЕДОМОСТЬ ДЕФЕКТОВ</w:t>
      </w:r>
    </w:p>
    <w:tbl>
      <w:tblPr>
        <w:tblW w:w="10189" w:type="dxa"/>
        <w:jc w:val="left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181"/>
        <w:gridCol w:w="7803"/>
      </w:tblGrid>
      <w:tr>
        <w:trPr>
          <w:trHeight w:val="240" w:hRule="atLeast"/>
        </w:trPr>
        <w:tc>
          <w:tcPr>
            <w:tcW w:w="220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На установку</w:t>
            </w:r>
          </w:p>
        </w:tc>
        <w:tc>
          <w:tcPr>
            <w:tcW w:w="798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20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(указать вид установки)</w:t>
            </w:r>
          </w:p>
        </w:tc>
      </w:tr>
      <w:tr>
        <w:trPr>
          <w:trHeight w:val="240" w:hRule="atLeast"/>
        </w:trPr>
        <w:tc>
          <w:tcPr>
            <w:tcW w:w="238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обследованную</w:t>
            </w:r>
          </w:p>
        </w:tc>
        <w:tc>
          <w:tcPr>
            <w:tcW w:w="780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385" w:type="dxa"/>
            <w:gridSpan w:val="2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780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(наименование организации исполнителя)</w:t>
            </w:r>
          </w:p>
        </w:tc>
      </w:tr>
      <w:tr>
        <w:trPr>
          <w:trHeight w:val="240" w:hRule="atLeast"/>
        </w:trPr>
        <w:tc>
          <w:tcPr>
            <w:tcW w:w="10188" w:type="dxa"/>
            <w:gridSpan w:val="3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hanging="0" w:left="0"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tbl>
      <w:tblPr>
        <w:tblW w:w="10189" w:type="dxa"/>
        <w:jc w:val="left"/>
        <w:tblInd w:w="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549"/>
        <w:gridCol w:w="2212"/>
        <w:gridCol w:w="2547"/>
      </w:tblGrid>
      <w:tr>
        <w:trPr>
          <w:trHeight w:val="24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установки или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технического средства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Неисправный узел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или деталь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Дефект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Метод устранения</w:t>
            </w:r>
          </w:p>
        </w:tc>
      </w:tr>
      <w:tr>
        <w:trPr>
          <w:trHeight w:val="24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57" w:right="57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hanging="0" w:left="0"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p>
      <w:pPr>
        <w:pStyle w:val="Normal"/>
        <w:ind w:hanging="0" w:left="0"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>ЗАКЛЮЧЕНИЕ:</w:t>
      </w:r>
    </w:p>
    <w:tbl>
      <w:tblPr>
        <w:tblW w:w="10191" w:type="dxa"/>
        <w:jc w:val="left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5385"/>
        <w:gridCol w:w="1641"/>
      </w:tblGrid>
      <w:tr>
        <w:trPr>
          <w:trHeight w:val="240" w:hRule="atLeast"/>
        </w:trPr>
        <w:tc>
          <w:tcPr>
            <w:tcW w:w="31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Установка подлежит</w:t>
            </w:r>
          </w:p>
        </w:tc>
        <w:tc>
          <w:tcPr>
            <w:tcW w:w="53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6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ремонту.</w:t>
            </w:r>
          </w:p>
        </w:tc>
      </w:tr>
      <w:tr>
        <w:trPr/>
        <w:tc>
          <w:tcPr>
            <w:tcW w:w="316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5385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(указать вид ремонта)</w:t>
            </w:r>
          </w:p>
        </w:tc>
        <w:tc>
          <w:tcPr>
            <w:tcW w:w="164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hanging="0" w:left="0"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tbl>
      <w:tblPr>
        <w:tblW w:w="10189" w:type="dxa"/>
        <w:jc w:val="left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9"/>
        <w:gridCol w:w="2184"/>
        <w:gridCol w:w="192"/>
        <w:gridCol w:w="5443"/>
      </w:tblGrid>
      <w:tr>
        <w:trPr>
          <w:trHeight w:val="240" w:hRule="atLeast"/>
        </w:trPr>
        <w:tc>
          <w:tcPr>
            <w:tcW w:w="23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Исполнитель</w:t>
            </w:r>
          </w:p>
        </w:tc>
        <w:tc>
          <w:tcPr>
            <w:tcW w:w="218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19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54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</w:tr>
      <w:tr>
        <w:trPr/>
        <w:tc>
          <w:tcPr>
            <w:tcW w:w="236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218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(подпись)</w:t>
            </w:r>
          </w:p>
        </w:tc>
        <w:tc>
          <w:tcPr>
            <w:tcW w:w="19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iCs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</w:r>
          </w:p>
        </w:tc>
        <w:tc>
          <w:tcPr>
            <w:tcW w:w="544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iCs/>
                <w:sz w:val="24"/>
                <w:szCs w:val="24"/>
              </w:rPr>
              <w:t>(инициалы, фамилия)</w:t>
            </w:r>
          </w:p>
        </w:tc>
      </w:tr>
    </w:tbl>
    <w:p>
      <w:pPr>
        <w:pStyle w:val="Normal"/>
        <w:widowControl w:val="false"/>
        <w:ind w:hanging="0" w:left="0"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tbl>
      <w:tblPr>
        <w:tblW w:w="4815" w:type="dxa"/>
        <w:jc w:val="left"/>
        <w:tblInd w:w="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"/>
        <w:gridCol w:w="570"/>
        <w:gridCol w:w="449"/>
        <w:gridCol w:w="1789"/>
        <w:gridCol w:w="656"/>
        <w:gridCol w:w="510"/>
        <w:gridCol w:w="570"/>
      </w:tblGrid>
      <w:tr>
        <w:trPr>
          <w:trHeight w:val="240" w:hRule="atLeast"/>
        </w:trPr>
        <w:tc>
          <w:tcPr>
            <w:tcW w:w="2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«</w:t>
            </w:r>
          </w:p>
        </w:tc>
        <w:tc>
          <w:tcPr>
            <w:tcW w:w="5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449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65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righ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570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ind w:hanging="0" w:left="0" w:right="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 </w:t>
            </w:r>
            <w:r>
              <w:rPr>
                <w:rFonts w:ascii="Nimbus Roman" w:hAnsi="Nimbus Roman"/>
                <w:sz w:val="24"/>
                <w:szCs w:val="24"/>
              </w:rPr>
              <w:t>г.</w:t>
            </w:r>
          </w:p>
        </w:tc>
      </w:tr>
    </w:tbl>
    <w:p>
      <w:pPr>
        <w:pStyle w:val="Normal"/>
        <w:widowControl w:val="false"/>
        <w:ind w:hanging="0" w:left="0" w:right="0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 xml:space="preserve">Приложение № </w:t>
      </w:r>
      <w:r>
        <w:rPr>
          <w:rFonts w:ascii="Nimbus Roman" w:hAnsi="Nimbus Roman"/>
          <w:sz w:val="26"/>
          <w:szCs w:val="26"/>
        </w:rPr>
        <w:t>3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к положению о создании и поддержании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в состоянии постоянной готовности к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использованию защитных сооружений и</w:t>
      </w:r>
    </w:p>
    <w:p>
      <w:pPr>
        <w:pStyle w:val="Normal"/>
        <w:spacing w:before="0" w:after="0"/>
        <w:ind w:right="0"/>
        <w:rPr>
          <w:rFonts w:ascii="Nimbus Roman" w:hAnsi="Nimbus Roman"/>
          <w:sz w:val="26"/>
          <w:szCs w:val="26"/>
        </w:rPr>
      </w:pPr>
      <w:r>
        <w:rPr>
          <w:rFonts w:ascii="Nimbus Roman" w:hAnsi="Nimbus Roman"/>
          <w:sz w:val="26"/>
          <w:szCs w:val="26"/>
        </w:rPr>
        <w:tab/>
        <w:tab/>
        <w:tab/>
        <w:tab/>
        <w:tab/>
        <w:tab/>
        <w:tab/>
        <w:t>других объектов гражданской обороны на</w:t>
      </w:r>
    </w:p>
    <w:p>
      <w:pPr>
        <w:pStyle w:val="Normal"/>
        <w:ind w:right="0"/>
        <w:rPr>
          <w:rFonts w:ascii="Nimbus Roman" w:hAnsi="Nimbus Roman"/>
          <w:sz w:val="26"/>
          <w:szCs w:val="26"/>
        </w:rPr>
      </w:pPr>
      <w:r>
        <w:rPr>
          <w:rStyle w:val="FontStyle12"/>
          <w:rFonts w:eastAsia="Times New Roman" w:ascii="Nimbus Roman" w:hAnsi="Nimbus Roman"/>
          <w:color w:val="auto"/>
          <w:kern w:val="0"/>
          <w:sz w:val="26"/>
          <w:szCs w:val="26"/>
          <w:lang w:val="ru-RU" w:eastAsia="ru-RU" w:bidi="ar-SA"/>
        </w:rPr>
        <w:tab/>
        <w:tab/>
        <w:tab/>
        <w:tab/>
        <w:tab/>
        <w:tab/>
        <w:tab/>
        <w:t>территории города Набережные Челны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Журнал оценки технического состояния 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защитного сооружения гражданской обороны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(форма)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 xml:space="preserve">                   </w:t>
      </w: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  <w:t>(наименование организации, которой принадлежит защитное сооружение гражданской обороны)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/>
          <w:color w:val="000000"/>
          <w:sz w:val="20"/>
          <w:szCs w:val="20"/>
          <w:lang w:eastAsia="ru-RU"/>
        </w:rPr>
      </w:pPr>
      <w:r>
        <w:rPr>
          <w:rFonts w:eastAsia="Times New Roman"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расположено по адресу 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W w:w="10632" w:type="dxa"/>
        <w:jc w:val="left"/>
        <w:tblInd w:w="-7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noVBand="1" w:val="04a0" w:noHBand="0" w:lastColumn="0" w:firstColumn="1" w:lastRow="0" w:firstRow="1"/>
      </w:tblPr>
      <w:tblGrid>
        <w:gridCol w:w="1805"/>
        <w:gridCol w:w="2139"/>
        <w:gridCol w:w="1720"/>
        <w:gridCol w:w="1501"/>
        <w:gridCol w:w="1624"/>
        <w:gridCol w:w="1842"/>
      </w:tblGrid>
      <w:tr>
        <w:trPr/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bookmarkStart w:id="9" w:name="100844"/>
            <w:bookmarkStart w:id="10" w:name="001003"/>
            <w:bookmarkEnd w:id="9"/>
            <w:bookmarkEnd w:id="10"/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Дата оценки технического состояния</w:t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Должности, фамилии и инициалы контролирующего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Осмотренные конструкции, узлы, механизмы и оборудование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Результаты осмотра и выявленные недостатки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Срок устранения недостатков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Дата устранения недостатков и подпись ответственного лица</w:t>
            </w:r>
          </w:p>
        </w:tc>
      </w:tr>
      <w:tr>
        <w:trPr/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293" w:before="0" w:after="300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hd w:val="clear" w:color="auto" w:fill="FFFFFF"/>
        <w:spacing w:lineRule="atLeast" w:line="293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  <w:bookmarkStart w:id="11" w:name="100845"/>
      <w:bookmarkStart w:id="12" w:name="001004"/>
      <w:bookmarkStart w:id="13" w:name="100846"/>
      <w:bookmarkStart w:id="14" w:name="100845"/>
      <w:bookmarkStart w:id="15" w:name="001004"/>
      <w:bookmarkStart w:id="16" w:name="100846"/>
      <w:bookmarkEnd w:id="14"/>
      <w:bookmarkEnd w:id="15"/>
      <w:bookmarkEnd w:id="16"/>
    </w:p>
    <w:p>
      <w:pPr>
        <w:pStyle w:val="Normal"/>
        <w:shd w:val="clear" w:color="auto" w:fill="FFFFFF"/>
        <w:spacing w:lineRule="atLeast" w:line="293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Примечание: журнал хранится в защитном сооружении гражданской обороны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993" w:right="566" w:gutter="0" w:header="709" w:top="766" w:footer="0" w:bottom="56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Nimbus Roman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23916830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7fa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1e573a"/>
    <w:pPr>
      <w:keepNext w:val="true"/>
      <w:spacing w:lineRule="auto" w:line="240"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  <w:lang w:eastAsia="ru-RU"/>
    </w:rPr>
  </w:style>
  <w:style w:type="paragraph" w:styleId="Heading2">
    <w:name w:val="Heading 2"/>
    <w:next w:val="Normal"/>
    <w:link w:val="2"/>
    <w:uiPriority w:val="9"/>
    <w:unhideWhenUsed/>
    <w:qFormat/>
    <w:rsid w:val="004f02fe"/>
    <w:pPr>
      <w:keepNext w:val="true"/>
      <w:keepLines/>
      <w:widowControl/>
      <w:suppressAutoHyphens w:val="true"/>
      <w:bidi w:val="0"/>
      <w:spacing w:lineRule="auto" w:line="247" w:before="0" w:after="261"/>
      <w:ind w:hanging="10" w:left="713"/>
      <w:jc w:val="center"/>
      <w:outlineLvl w:val="1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1e573a"/>
    <w:rPr>
      <w:rFonts w:ascii="Calibri Light" w:hAnsi="Calibri Light" w:eastAsia="Times New Roman" w:cs="Times New Roman"/>
      <w:b/>
      <w:bCs/>
      <w:kern w:val="2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4f02fe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673697"/>
    <w:rPr>
      <w:rFonts w:ascii="Calibri" w:hAnsi="Calibri" w:eastAsia="Calibri" w:cs="Times New Roman"/>
    </w:rPr>
  </w:style>
  <w:style w:type="character" w:styleId="Style13" w:customStyle="1">
    <w:name w:val="Нижний колонтитул Знак"/>
    <w:basedOn w:val="DefaultParagraphFont"/>
    <w:uiPriority w:val="99"/>
    <w:qFormat/>
    <w:rsid w:val="00673697"/>
    <w:rPr>
      <w:rFonts w:ascii="Calibri" w:hAnsi="Calibri" w:eastAsia="Calibri" w:cs="Times New Roma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97d36"/>
    <w:rPr>
      <w:rFonts w:ascii="Segoe UI" w:hAnsi="Segoe UI" w:eastAsia="Calibri" w:cs="Segoe UI"/>
      <w:sz w:val="18"/>
      <w:szCs w:val="18"/>
    </w:rPr>
  </w:style>
  <w:style w:type="character" w:styleId="3" w:customStyle="1">
    <w:name w:val="Основной текст с отступом 3 Знак"/>
    <w:basedOn w:val="DefaultParagraphFont"/>
    <w:link w:val="BodyTextIndent3"/>
    <w:semiHidden/>
    <w:qFormat/>
    <w:rsid w:val="00f40239"/>
    <w:rPr>
      <w:rFonts w:ascii="Times New Roman" w:hAnsi="Times New Roman" w:eastAsia="Times New Roman" w:cs="Times New Roman"/>
      <w:szCs w:val="20"/>
      <w:lang w:eastAsia="ru-RU"/>
    </w:rPr>
  </w:style>
  <w:style w:type="character" w:styleId="FontStyle16" w:customStyle="1">
    <w:name w:val="Font Style16"/>
    <w:qFormat/>
    <w:rsid w:val="001662b3"/>
    <w:rPr>
      <w:rFonts w:ascii="Times New Roman" w:hAnsi="Times New Roman" w:cs="Times New Roman"/>
      <w:sz w:val="24"/>
      <w:szCs w:val="24"/>
    </w:rPr>
  </w:style>
  <w:style w:type="character" w:styleId="FontStyle12" w:customStyle="1">
    <w:name w:val="Font Style12"/>
    <w:basedOn w:val="DefaultParagraphFont"/>
    <w:qFormat/>
    <w:rsid w:val="007e0072"/>
    <w:rPr>
      <w:rFonts w:ascii="Times New Roman" w:hAnsi="Times New Roman" w:cs="Times New Roman"/>
      <w:sz w:val="14"/>
      <w:szCs w:val="14"/>
    </w:rPr>
  </w:style>
  <w:style w:type="character" w:styleId="FontStyle14" w:customStyle="1">
    <w:name w:val="Font Style14"/>
    <w:basedOn w:val="DefaultParagraphFont"/>
    <w:qFormat/>
    <w:rsid w:val="001e5cf1"/>
    <w:rPr>
      <w:rFonts w:ascii="Times New Roman" w:hAnsi="Times New Roman" w:cs="Times New Roman"/>
      <w:sz w:val="14"/>
      <w:szCs w:val="14"/>
    </w:rPr>
  </w:style>
  <w:style w:type="character" w:styleId="FontStyle11" w:customStyle="1">
    <w:name w:val="Font Style11"/>
    <w:basedOn w:val="DefaultParagraphFont"/>
    <w:qFormat/>
    <w:rsid w:val="001e5cf1"/>
    <w:rPr>
      <w:rFonts w:ascii="Times New Roman" w:hAnsi="Times New Roman" w:cs="Times New Roman"/>
      <w:sz w:val="14"/>
      <w:szCs w:val="14"/>
    </w:rPr>
  </w:style>
  <w:style w:type="character" w:styleId="Strong">
    <w:name w:val="Strong"/>
    <w:basedOn w:val="DefaultParagraphFont"/>
    <w:uiPriority w:val="22"/>
    <w:qFormat/>
    <w:rsid w:val="008b18d3"/>
    <w:rPr>
      <w:b/>
      <w:bCs/>
    </w:rPr>
  </w:style>
  <w:style w:type="character" w:styleId="Hyperlink">
    <w:name w:val="Hyperlink"/>
    <w:rsid w:val="001e573a"/>
    <w:rPr>
      <w:color w:val="0000FF"/>
      <w:u w:val="single"/>
    </w:rPr>
  </w:style>
  <w:style w:type="character" w:styleId="Emphasis">
    <w:name w:val="Emphasis"/>
    <w:qFormat/>
    <w:rsid w:val="001e573a"/>
    <w:rPr>
      <w:i/>
      <w:iCs/>
    </w:rPr>
  </w:style>
  <w:style w:type="character" w:styleId="Style15" w:customStyle="1">
    <w:name w:val="Заголовок Знак"/>
    <w:qFormat/>
    <w:rsid w:val="001e573a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6" w:customStyle="1">
    <w:name w:val="Подзаголовок Знак"/>
    <w:basedOn w:val="DefaultParagraphFont"/>
    <w:qFormat/>
    <w:rsid w:val="001e573a"/>
    <w:rPr>
      <w:rFonts w:ascii="Calibri Light" w:hAnsi="Calibri Light" w:eastAsia="Times New Roman" w:cs="Times New Roman"/>
      <w:sz w:val="24"/>
      <w:szCs w:val="24"/>
      <w:lang w:eastAsia="ru-RU"/>
    </w:rPr>
  </w:style>
  <w:style w:type="character" w:styleId="Style17" w:customStyle="1">
    <w:name w:val="Название Знак"/>
    <w:basedOn w:val="DefaultParagraphFont"/>
    <w:uiPriority w:val="10"/>
    <w:qFormat/>
    <w:rsid w:val="001e573a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5"/>
    <w:qFormat/>
    <w:rsid w:val="001e573a"/>
    <w:pPr>
      <w:pBdr>
        <w:bottom w:val="single" w:sz="8" w:space="4" w:color="5B9BD5"/>
      </w:pBdr>
      <w:spacing w:lineRule="auto" w:line="240" w:before="0" w:after="300"/>
      <w:contextualSpacing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87fad"/>
    <w:pPr>
      <w:spacing w:before="0" w:after="200"/>
      <w:ind w:hanging="0" w:left="720"/>
      <w:contextualSpacing/>
    </w:pPr>
    <w:rPr/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6736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67369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semiHidden/>
    <w:unhideWhenUsed/>
    <w:qFormat/>
    <w:rsid w:val="00797d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semiHidden/>
    <w:unhideWhenUsed/>
    <w:qFormat/>
    <w:rsid w:val="00f40239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/>
      <w:szCs w:val="20"/>
      <w:lang w:eastAsia="ru-RU"/>
    </w:rPr>
  </w:style>
  <w:style w:type="paragraph" w:styleId="Style31" w:customStyle="1">
    <w:name w:val="Style3"/>
    <w:basedOn w:val="Normal"/>
    <w:qFormat/>
    <w:rsid w:val="001662b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110" w:customStyle="1">
    <w:name w:val="Style1"/>
    <w:basedOn w:val="Normal"/>
    <w:qFormat/>
    <w:rsid w:val="007e0072"/>
    <w:pPr>
      <w:widowControl w:val="false"/>
      <w:spacing w:lineRule="exact" w:line="194" w:before="0" w:after="0"/>
      <w:ind w:firstLine="82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51" w:customStyle="1">
    <w:name w:val="Style5"/>
    <w:basedOn w:val="Normal"/>
    <w:qFormat/>
    <w:rsid w:val="007e0072"/>
    <w:pPr>
      <w:widowControl w:val="false"/>
      <w:spacing w:lineRule="exact" w:line="193" w:before="0" w:after="0"/>
      <w:ind w:firstLine="5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 w:customStyle="1">
    <w:name w:val="Нормальный (таблица)"/>
    <w:basedOn w:val="Normal"/>
    <w:next w:val="Normal"/>
    <w:uiPriority w:val="99"/>
    <w:qFormat/>
    <w:rsid w:val="001e5cf1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22" w:customStyle="1">
    <w:name w:val="Прижатый влево"/>
    <w:basedOn w:val="Normal"/>
    <w:next w:val="Normal"/>
    <w:uiPriority w:val="99"/>
    <w:qFormat/>
    <w:rsid w:val="001e5cf1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23" w:customStyle="1">
    <w:name w:val="Style2"/>
    <w:basedOn w:val="Normal"/>
    <w:qFormat/>
    <w:rsid w:val="001e5cf1"/>
    <w:pPr>
      <w:widowControl w:val="false"/>
      <w:spacing w:lineRule="exact" w:line="192" w:before="0" w:after="0"/>
      <w:ind w:firstLine="566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8b18d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link w:val="Style16"/>
    <w:qFormat/>
    <w:rsid w:val="001e573a"/>
    <w:pPr>
      <w:spacing w:lineRule="auto" w:line="240" w:before="0" w:after="60"/>
      <w:jc w:val="center"/>
      <w:outlineLvl w:val="1"/>
    </w:pPr>
    <w:rPr>
      <w:rFonts w:ascii="Calibri Light" w:hAnsi="Calibri Light" w:eastAsia="Times New Roman"/>
      <w:sz w:val="24"/>
      <w:szCs w:val="24"/>
      <w:lang w:eastAsia="ru-RU"/>
    </w:rPr>
  </w:style>
  <w:style w:type="paragraph" w:styleId="BodyTextIndent">
    <w:name w:val="Body Text Indent"/>
    <w:basedOn w:val="BodyTex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c39e3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DC77-E942-4D64-8F1F-62712721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LibreOffice/7.6.7.2$Linux_X86_64 LibreOffice_project/60$Build-2</Application>
  <AppVersion>15.0000</AppVersion>
  <Pages>14</Pages>
  <Words>3111</Words>
  <Characters>23015</Characters>
  <CharactersWithSpaces>26227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2023-04-04T11:18:00Z</dcterms:created>
  <dc:creator>Гюзель Файзуллина Тагировна</dc:creator>
  <dc:description/>
  <dc:language>ru-RU</dc:language>
  <cp:lastModifiedBy/>
  <cp:lastPrinted>2023-03-21T08:36:00Z</cp:lastPrinted>
  <dcterms:modified xsi:type="dcterms:W3CDTF">2026-04-10T14:04:52Z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