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6.odttf" ContentType="application/vnd.openxmlformats-officedocument.obfuscatedFont"/>
  <Override PartName="/word/fonts/font15.odttf" ContentType="application/vnd.openxmlformats-officedocument.obfuscatedFont"/>
  <Override PartName="/word/fonts/font14.odttf" ContentType="application/vnd.openxmlformats-officedocument.obfuscatedFont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1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9.odttf" ContentType="application/vnd.openxmlformats-officedocument.obfuscatedFont"/>
  <Override PartName="/word/fonts/font22.odttf" ContentType="application/vnd.openxmlformats-officedocument.obfuscatedFont"/>
  <Override PartName="/word/fonts/font21.odttf" ContentType="application/vnd.openxmlformats-officedocument.obfuscatedFont"/>
  <Override PartName="/word/fonts/font20.odttf" ContentType="application/vnd.openxmlformats-officedocument.obfuscatedFont"/>
  <Override PartName="/word/fonts/font10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pBdr/>
        <w:spacing w:lineRule="auto" w:line="240" w:before="0" w:after="0"/>
        <w:rPr>
          <w:rFonts w:ascii="Tahoma" w:hAnsi="Tahoma" w:eastAsia="Tahoma" w:cs="Tahoma"/>
          <w:color w:val="000000"/>
          <w:sz w:val="20"/>
          <w:szCs w:val="20"/>
        </w:rPr>
      </w:pPr>
      <w:r>
        <w:rPr>
          <w:rFonts w:eastAsia="Tahoma" w:cs="Tahoma" w:ascii="Tahoma" w:hAnsi="Tahoma"/>
          <w:color w:val="000000"/>
          <w:sz w:val="20"/>
          <w:szCs w:val="20"/>
        </w:rPr>
      </w:r>
    </w:p>
    <w:p>
      <w:pPr>
        <w:pStyle w:val="Normal"/>
        <w:widowControl w:val="false"/>
        <w:pBdr/>
        <w:spacing w:lineRule="auto" w:line="240" w:before="0" w:after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right="-143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Проект</w:t>
      </w:r>
    </w:p>
    <w:p>
      <w:pPr>
        <w:pStyle w:val="Normal"/>
        <w:spacing w:lineRule="auto" w:line="240" w:before="0" w:after="0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О внесении изменений в Постановление </w:t>
      </w:r>
    </w:p>
    <w:p>
      <w:pPr>
        <w:pStyle w:val="Normal"/>
        <w:spacing w:lineRule="auto" w:line="240" w:before="0" w:after="0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Исполнительного комитета от 22.10.2024 № 6968</w:t>
      </w:r>
    </w:p>
    <w:p>
      <w:pPr>
        <w:pStyle w:val="Normal"/>
        <w:spacing w:lineRule="auto" w:line="240" w:before="0" w:after="0"/>
        <w:ind w:right="-14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«Об утверждении муниципальной программы</w:t>
      </w:r>
    </w:p>
    <w:p>
      <w:pPr>
        <w:pStyle w:val="Normal"/>
        <w:spacing w:lineRule="auto" w:line="240" w:before="0" w:after="0"/>
        <w:ind w:right="-14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«Реализация государственной национальной </w:t>
      </w:r>
    </w:p>
    <w:p>
      <w:pPr>
        <w:pStyle w:val="Normal"/>
        <w:spacing w:lineRule="auto" w:line="240" w:before="0" w:after="0"/>
        <w:ind w:right="-14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политики в городе Набережные Челны на 2025 - 2027 годы»</w:t>
      </w:r>
    </w:p>
    <w:p>
      <w:pPr>
        <w:pStyle w:val="Normal"/>
        <w:spacing w:lineRule="auto" w:line="240" w:before="0" w:after="0"/>
        <w:ind w:right="-14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В соответствии со </w:t>
      </w:r>
      <w:hyperlink r:id="rId2">
        <w:r>
          <w:rPr>
            <w:rStyle w:val="ListLabel19"/>
            <w:rFonts w:eastAsia="Times New Roman" w:cs="Times New Roman" w:ascii="Times New Roman" w:hAnsi="Times New Roman"/>
            <w:color w:val="000000"/>
            <w:sz w:val="24"/>
            <w:szCs w:val="24"/>
          </w:rPr>
          <w:t>Стратеги</w:t>
        </w:r>
      </w:hyperlink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ей государственной национальной политики Российской Федерации на период до 2036 года, утвержденной Указом Президента Российской Федерации от 25.11.2025 № 858, Уставом города, пунктом 5.24 Положения о системе муниципальных правовых актов утвержденного Решением Городского Совета от 21.02.2007 № 19/8, постановлением Исполнительного комитета от 11.09.2017 № 5326 «Об утверждении порядка разработки, реализации и оценки эффективности муниципальных программ»</w:t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П О С Т А Н О В Л Я Ю: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pBdr/>
        <w:spacing w:lineRule="auto" w:line="240" w:before="0" w:after="0"/>
        <w:ind w:firstLine="851" w:left="0" w:right="-143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Внести в Постановление Исполнительного комитета от 22.10.2024 № 6968 «Об утверждении муниципальной программы «Реализация государственной национальной политики в городе Набережные Челны на 2025 - 2027 годы» изменения, изложив приложение в новой редакции согласно приложению.</w:t>
      </w:r>
    </w:p>
    <w:p>
      <w:pPr>
        <w:pStyle w:val="Normal"/>
        <w:numPr>
          <w:ilvl w:val="0"/>
          <w:numId w:val="1"/>
        </w:numPr>
        <w:pBdr/>
        <w:spacing w:lineRule="auto" w:line="240" w:before="0" w:after="0"/>
        <w:ind w:firstLine="851" w:left="0" w:right="-143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Управлению делопроизводством Исполнительного комитета обеспечить  официальное опубликование настоящего постановления и размещение его   на официальном портале правовой информации Республики Татарстан (http://pravo.tatarstan.ru), на официальном сайте города Набережные Челны  в сети «Интернет». </w:t>
      </w:r>
    </w:p>
    <w:p>
      <w:pPr>
        <w:pStyle w:val="Normal"/>
        <w:numPr>
          <w:ilvl w:val="0"/>
          <w:numId w:val="1"/>
        </w:numPr>
        <w:pBdr/>
        <w:spacing w:lineRule="auto" w:line="240" w:before="0" w:after="0"/>
        <w:ind w:firstLine="851" w:left="0" w:right="-143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Контроль за исполнением настоящего постановления возложить на заместителя Руководителя Исполнительного комитета Харисова В.Х., заместителя Руководителя Исполнительного комитета, начальника управления финансов Мулюкову С.Р.</w:t>
      </w:r>
    </w:p>
    <w:p>
      <w:pPr>
        <w:pStyle w:val="Normal"/>
        <w:spacing w:lineRule="auto" w:line="240" w:before="0" w:after="0"/>
        <w:ind w:right="-14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14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143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right="-14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14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14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Руководитель</w:t>
      </w:r>
    </w:p>
    <w:p>
      <w:pPr>
        <w:pStyle w:val="Normal"/>
        <w:spacing w:lineRule="auto" w:line="240" w:before="0" w:after="0"/>
        <w:ind w:right="-14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Исполнительного комитета                                                                                      Ф.Ш. Салахов</w:t>
      </w:r>
    </w:p>
    <w:p>
      <w:pPr>
        <w:pStyle w:val="Normal"/>
        <w:widowControl w:val="false"/>
        <w:pBdr/>
        <w:spacing w:lineRule="auto" w:line="240" w:before="0" w:after="0"/>
        <w:ind w:right="-1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2205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2205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2205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2205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2205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2205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2205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2205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2205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2205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pBdr/>
        <w:tabs>
          <w:tab w:val="clear" w:pos="720"/>
          <w:tab w:val="left" w:pos="142" w:leader="none"/>
        </w:tabs>
        <w:spacing w:lineRule="auto" w:line="240" w:before="0" w:after="0"/>
        <w:ind w:left="6379" w:right="-143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 xml:space="preserve">Приложение </w:t>
      </w:r>
    </w:p>
    <w:p>
      <w:pPr>
        <w:pStyle w:val="Normal"/>
        <w:widowControl w:val="false"/>
        <w:pBdr/>
        <w:tabs>
          <w:tab w:val="clear" w:pos="720"/>
          <w:tab w:val="left" w:pos="142" w:leader="none"/>
        </w:tabs>
        <w:spacing w:lineRule="auto" w:line="240" w:before="0" w:after="0"/>
        <w:ind w:left="6379" w:right="-143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к постановлению</w:t>
      </w:r>
    </w:p>
    <w:p>
      <w:pPr>
        <w:pStyle w:val="Normal"/>
        <w:widowControl w:val="false"/>
        <w:pBdr/>
        <w:tabs>
          <w:tab w:val="clear" w:pos="720"/>
          <w:tab w:val="left" w:pos="142" w:leader="none"/>
        </w:tabs>
        <w:spacing w:lineRule="auto" w:line="240" w:before="0" w:after="0"/>
        <w:ind w:left="6379" w:right="-143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Исполнительного комитета</w:t>
      </w:r>
    </w:p>
    <w:p>
      <w:pPr>
        <w:pStyle w:val="Normal"/>
        <w:widowControl w:val="false"/>
        <w:pBdr/>
        <w:tabs>
          <w:tab w:val="clear" w:pos="720"/>
          <w:tab w:val="left" w:pos="142" w:leader="none"/>
        </w:tabs>
        <w:spacing w:lineRule="auto" w:line="240" w:before="0" w:after="0"/>
        <w:ind w:left="6379" w:right="-143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от_____________ №________</w:t>
      </w:r>
    </w:p>
    <w:p>
      <w:pPr>
        <w:pStyle w:val="Normal"/>
        <w:widowControl w:val="false"/>
        <w:pBdr/>
        <w:tabs>
          <w:tab w:val="clear" w:pos="720"/>
          <w:tab w:val="left" w:pos="142" w:leader="none"/>
        </w:tabs>
        <w:spacing w:lineRule="auto" w:line="240" w:before="0" w:after="0"/>
        <w:ind w:left="6379" w:right="-143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Normal"/>
        <w:widowControl w:val="false"/>
        <w:pBdr/>
        <w:tabs>
          <w:tab w:val="clear" w:pos="720"/>
          <w:tab w:val="left" w:pos="142" w:leader="none"/>
        </w:tabs>
        <w:spacing w:lineRule="auto" w:line="240" w:before="0" w:after="0"/>
        <w:ind w:left="6379" w:right="-143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Приложение к постановлению</w:t>
      </w:r>
    </w:p>
    <w:p>
      <w:pPr>
        <w:pStyle w:val="Normal"/>
        <w:widowControl w:val="false"/>
        <w:pBdr/>
        <w:tabs>
          <w:tab w:val="clear" w:pos="720"/>
          <w:tab w:val="left" w:pos="142" w:leader="none"/>
        </w:tabs>
        <w:spacing w:lineRule="auto" w:line="240" w:before="0" w:after="0"/>
        <w:ind w:left="6379" w:right="-143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 xml:space="preserve">Исполнительного комитета </w:t>
      </w:r>
    </w:p>
    <w:p>
      <w:pPr>
        <w:pStyle w:val="Normal"/>
        <w:widowControl w:val="false"/>
        <w:pBdr/>
        <w:tabs>
          <w:tab w:val="clear" w:pos="720"/>
          <w:tab w:val="left" w:pos="142" w:leader="none"/>
        </w:tabs>
        <w:spacing w:lineRule="auto" w:line="240" w:before="0" w:after="0"/>
        <w:ind w:left="6379" w:right="-143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от 22.10.2024 № 6968</w:t>
      </w:r>
    </w:p>
    <w:p>
      <w:pPr>
        <w:pStyle w:val="Normal"/>
        <w:widowControl w:val="false"/>
        <w:pBdr/>
        <w:tabs>
          <w:tab w:val="clear" w:pos="720"/>
          <w:tab w:val="left" w:pos="142" w:leader="none"/>
        </w:tabs>
        <w:spacing w:lineRule="auto" w:line="240" w:before="0" w:after="0"/>
        <w:ind w:left="6379" w:right="-143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color w:val="000000"/>
        </w:rPr>
      </w:pPr>
      <w:bookmarkStart w:id="0" w:name="bookmark=id.ojb23p39et3o"/>
      <w:bookmarkEnd w:id="0"/>
      <w:r>
        <w:rPr>
          <w:rFonts w:eastAsia="Times New Roman" w:cs="Times New Roman" w:ascii="Times New Roman" w:hAnsi="Times New Roman"/>
          <w:color w:val="000000"/>
        </w:rPr>
        <w:t>Муниципальная программа</w:t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«Реализация государственной национальной политики в городе Набережные Челны </w:t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на 2025 - 2027 годы»</w:t>
      </w:r>
    </w:p>
    <w:p>
      <w:pPr>
        <w:pStyle w:val="Normal"/>
        <w:spacing w:before="0" w:after="1"/>
        <w:ind w:firstLine="567" w:left="-567" w:right="-143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Глава 1. Паспорт муниципальной программы «Реализация</w:t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государственной национальной политики в городе Набережные</w:t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b/>
          <w:bCs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Челны на 2025 – 2027 годы»</w:t>
      </w:r>
    </w:p>
    <w:tbl>
      <w:tblPr>
        <w:tblStyle w:val="a5"/>
        <w:tblW w:w="11482" w:type="dxa"/>
        <w:jc w:val="left"/>
        <w:tblInd w:w="-5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2728"/>
        <w:gridCol w:w="1915"/>
        <w:gridCol w:w="1452"/>
        <w:gridCol w:w="1560"/>
        <w:gridCol w:w="1142"/>
        <w:gridCol w:w="1692"/>
        <w:gridCol w:w="992"/>
      </w:tblGrid>
      <w:tr>
        <w:trPr/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Наименование программы</w:t>
            </w:r>
          </w:p>
        </w:tc>
        <w:tc>
          <w:tcPr>
            <w:tcW w:w="7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Муниципальная программа «Реализация государственной национальной политики в городе Набережные Челны на 2025 - 2027 годы» (далее - программа)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Основание для разработки программы (наименование, номер и дата правового акта)</w:t>
            </w:r>
          </w:p>
        </w:tc>
        <w:tc>
          <w:tcPr>
            <w:tcW w:w="7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hyperlink r:id="rId3">
              <w:r>
                <w:rPr>
                  <w:rStyle w:val="ListLabel20"/>
                  <w:rFonts w:eastAsia="Times New Roman" w:cs="Times New Roman" w:ascii="Times New Roman" w:hAnsi="Times New Roman"/>
                  <w:color w:val="000000"/>
                </w:rPr>
                <w:t>Стратегия</w:t>
              </w:r>
            </w:hyperlink>
            <w:r>
              <w:rPr>
                <w:rFonts w:eastAsia="Times New Roman" w:cs="Times New Roman" w:ascii="Times New Roman" w:hAnsi="Times New Roman"/>
                <w:color w:val="000000"/>
              </w:rPr>
              <w:t xml:space="preserve"> государственной национальной политики Российской Федерации на период до 2036 года, утвержденная Указом Президента Российской Федерации от 25.11.2025 № 858;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государственная программа Российской Федерации «Развитие культуры», утвержденная постановлением Правительства Российской Федерации от 15.04.2014 № 317;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hyperlink r:id="rId4">
              <w:r>
                <w:rPr>
                  <w:rStyle w:val="ListLabel20"/>
                  <w:rFonts w:eastAsia="Times New Roman" w:cs="Times New Roman" w:ascii="Times New Roman" w:hAnsi="Times New Roman"/>
                  <w:color w:val="000000"/>
                </w:rPr>
                <w:t>Указ</w:t>
              </w:r>
            </w:hyperlink>
            <w:r>
              <w:rPr>
                <w:rFonts w:eastAsia="Times New Roman" w:cs="Times New Roman" w:ascii="Times New Roman" w:hAnsi="Times New Roman"/>
                <w:color w:val="000000"/>
              </w:rPr>
              <w:t xml:space="preserve"> Президента Республики Татарстан от 03.07.2008 № УП-312 «Об утверждении Концепции государственной национальной политики в Республике Татарстан»;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государственная программа «Реализация государственной национальной политики в Республике Татарстан», утвержденная постановлением Кабинета Министров Республики Татарстан от 18.12.2013 № 1006 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Основные разработчики программы</w:t>
            </w:r>
          </w:p>
        </w:tc>
        <w:tc>
          <w:tcPr>
            <w:tcW w:w="7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Управление культуры Исполнительного комитета (далее - управление культуры)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Исполнители программы</w:t>
            </w:r>
          </w:p>
        </w:tc>
        <w:tc>
          <w:tcPr>
            <w:tcW w:w="7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Управление культуры, управление образования Исполнительного комитета, управление по делам молодежи Исполнительного комитета, управление информационной политики и по связям с общественностью</w:t>
            </w:r>
            <w:r>
              <w:rPr>
                <w:color w:val="00000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Исполнительного комитета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Цель программы</w:t>
            </w:r>
          </w:p>
        </w:tc>
        <w:tc>
          <w:tcPr>
            <w:tcW w:w="7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Сохранение единства многонационального населения</w:t>
            </w:r>
            <w:r>
              <w:rPr>
                <w:rFonts w:eastAsia="Times New Roman" w:cs="Times New Roman" w:ascii="Times New Roman" w:hAnsi="Times New Roman"/>
                <w:color w:val="000000"/>
                <w:lang w:val="ru-RU"/>
              </w:rPr>
              <w:t xml:space="preserve"> города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, укрепление общероссийской гражданской идентичности (гражданского самосознания) при сохранении этнокультурного и языкового многообразия для обеспечения устойчивого развития, социальной и экономической стабильности в городе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Задачи программы</w:t>
            </w:r>
          </w:p>
        </w:tc>
        <w:tc>
          <w:tcPr>
            <w:tcW w:w="7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pBdr/>
              <w:spacing w:lineRule="auto" w:line="240" w:before="0" w:after="0"/>
              <w:ind w:hanging="0" w:left="0"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Обеспечение межнационального и межконфессионального мира и согласия, предупреждение конфликтов на национальной (этнической) и (или) религиозной почве через совершенствование взаимодействия органов местного самоуправления с институтами гражданского общества, включая национально-культурные и религиозные объединения.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pBdr/>
              <w:spacing w:lineRule="auto" w:line="240" w:before="0" w:after="0"/>
              <w:ind w:hanging="0" w:left="49"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Укрепление гражданского единства и общероссийской гражданской идентичности (гражданского самосознания) на основе традиционных российских духовно-нравственных и культурно-исторических ценностей, в том числе путем патриотического воспитания детей и молодежи, развития исторического краеведения и формирования уважительного отношения к государственным символам Российской Федерации и Республики Татарстан.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pBdr/>
              <w:spacing w:lineRule="auto" w:line="240" w:before="0" w:after="0"/>
              <w:ind w:hanging="0" w:left="0"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Сохранение и поддержка этнокультурного и языкового многообразия города Набережные Челны, создание условий для функционирования татарского и русского языков (включая русский как язык межнационального общения), развитие родных языков и культур всех народов, а также содействие социокультурной адаптации и интеграции мигрантов в российское общество через ознакомление с русским языком, правовыми основами Российской Федерации, традициями и культурой народов Татарстана.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pBdr/>
              <w:spacing w:lineRule="auto" w:line="240" w:before="0" w:after="0"/>
              <w:ind w:hanging="0" w:left="0"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Информационное обеспечение реализации государственной национальной политики, формирование единого информационного пространства для пропаганды идей толерантности, гражданской солидарности, уважения к другим культурам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Сроки и этапы реализации программы</w:t>
            </w:r>
          </w:p>
        </w:tc>
        <w:tc>
          <w:tcPr>
            <w:tcW w:w="7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firstLine="567" w:left="-567" w:right="-14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2025 - 2027 годы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Объемы и источники финансирования программы с разбивкой по годам</w:t>
            </w:r>
          </w:p>
        </w:tc>
        <w:tc>
          <w:tcPr>
            <w:tcW w:w="1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Источники финансирования</w:t>
            </w:r>
          </w:p>
        </w:tc>
        <w:tc>
          <w:tcPr>
            <w:tcW w:w="5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Годы реализации программы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9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2025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2026 год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2027 год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Всего за период реализации (тыс. рублей)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Муниципальный бюджет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6 200,4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Республиканский бюджет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Прочие источники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Всего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6 200,4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919" w:hRule="atLeast"/>
        </w:trPr>
        <w:tc>
          <w:tcPr>
            <w:tcW w:w="2728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/>
            </w:pPr>
            <w:r>
              <w:rPr/>
            </w:r>
          </w:p>
        </w:tc>
        <w:tc>
          <w:tcPr>
            <w:tcW w:w="776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Примечание: объемы финансирования носят прогнозный характер и подлежат ежегодной корректировке с учетом возможностей бюджета муниципального образования город Набережные Челны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ind w:firstLine="284"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Ожидаемые результаты реализации программы и показатели эффективности</w:t>
            </w:r>
          </w:p>
        </w:tc>
        <w:tc>
          <w:tcPr>
            <w:tcW w:w="7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tabs>
                <w:tab w:val="clear" w:pos="720"/>
                <w:tab w:val="left" w:pos="6379" w:leader="none"/>
                <w:tab w:val="left" w:pos="7137" w:leader="none"/>
              </w:tabs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Итоговые результаты реализации программы: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6379" w:leader="none"/>
                <w:tab w:val="left" w:pos="7137" w:leader="none"/>
              </w:tabs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- укрепление гражданского единства, общероссийской гражданской идентичности жителей города, формирование единого культурного пространства на территории муниципального образования;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6379" w:leader="none"/>
                <w:tab w:val="left" w:pos="7137" w:leader="none"/>
              </w:tabs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- сохранение, развитие и поддержка русского и татарского языков как государственных, а также родных языков всех народов, проживающих в городе, обеспечение языкового многообразия;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6379" w:leader="none"/>
                <w:tab w:val="left" w:pos="7137" w:leader="none"/>
              </w:tabs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- удовлетворение этнокультурных потребностей представителей всех народов, проживающих в Набережных Челнах, включая сохранение и развитие культуры татарского народа;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6379" w:leader="none"/>
                <w:tab w:val="left" w:pos="7137" w:leader="none"/>
              </w:tabs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- предотвращение и мирное разрешение конфликтных ситуаций в сфере межнациональных (межэтнических) и межрелигиозных отношений на территории города;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6379" w:leader="none"/>
                <w:tab w:val="left" w:pos="7137" w:leader="none"/>
              </w:tabs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- создание условий для социальной и культурной адаптации иностранных граждан, их интеграции в российское общество, недопущение формирования анклавов на национальной и религиозной основе, а также развитие межрегионального и международного сотрудничества в рамках государственной национальной политики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Система организации контроля за реализацией программы</w:t>
            </w:r>
          </w:p>
        </w:tc>
        <w:tc>
          <w:tcPr>
            <w:tcW w:w="7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right="79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Контроль за исполнением программы осуществляет Исполнительный комитет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Глава 2. Содержание проблемы и обоснование необходимости ее</w:t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решения программным методом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Программа разработана на основании Указов Президента Российской Федерации от 25.11.2025 № 858 «О Стратегии государственной национальной политики Российской Федерации на период до 2036 года» и Президента Республики Татарстан от 03.07.2008 № УП-312 «Об утверждении Концепции государственной национальной политики в Республике Татарстан».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Опираясь на принципы и приоритеты, закрепленные в указанных стратегических документах, настоящая программа определяет цели, задачи и механизмы реализации государственной национальной политики в городе Набережные Челны, направленные на создание оптимальных условий для удовлетворения этнокультурных потребностей представителей всех народов, проживающих на территории города, сохранение межнационального и межконфессионального мира и согласия, а также успешную социокультурную адаптацию и интеграцию мигрантов.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Состояние межнациональных отношений в муниципальном образовании город Набережные Челны характеризуется стабильностью, мирным взаимодействием и сотрудничеством представителей различных этнических групп и конфессий. Межнациональные и межконфессиональные отношения, основанные на взаимоуважении и доверии, являются предметом особой заботы органов муниципальной власти, которые осуществляют свою деятельность во взаимодействии с общественными этнокультурными объединениями, религиозными организациями и иными институтами гражданского общества.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Город Набережные Челны — многонациональное и поликонфессиональное муниципальное образование Республики Татарстан. Его развитие характеризуется тесным этнокультурным взаимовлиянием и взаимопроникновением традиций народов, проживающих на территории современного Татарстана. Ведущую роль в этом процессе традиционно играют представители татарского и русского народов, составляющие большинство населения города. Взаимное обогащение культур, языков и обычаев этих народов стало характерной чертой развития местного сообщества.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Традиции добрососедства, сложившиеся в Набережных Челнах за длительный период совместного проживания представителей различных культур и религий, сохраняются и в настоящее время. Этому способствует целенаправленная работа по формированию общероссийской гражданской идентичности, воспитанию молодого поколения в духе уважения к культуре, языку, традициям и обычаям народов, проживающих в Республике Татарстан, а также повышению роли гуманитарного образования.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1A1A1A"/>
          <w:highlight w:val="white"/>
        </w:rPr>
        <w:t>При национальных общинах города действуют 13 клубов любителей национальных культур, языков и традиций: чувашской «Путене», башкирской  «Гурляук», армянской  «Киликиа», азербайджанской «Хары-Бюльбюль», марийской  «Эрвий», лезгинской  «Лезгияр», российских немцев «Inspiration», кряшенской «Игэнэй», кряшенской «Жанагай», армянской «Наири», армянской  «Зангак», удмуртской  «Кизилиос», таджикской «Вахдат». В клубах работают талантливые руководители — представители национальных общин. В каждом клубе занимается в среднем по 15 человек, более 165 человек разных возрастов с большим удовольствием посещают занятия национальных клубов.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Важной задачей является повышение квалификации и компетентности кадров системы управления, учреждений образования, культуры, молодежной политики и средств массовой информации в вопросах этнокультурного развития, межнациональных и межконфессиональных отношений, а также правовое просвещение мигрантов и работа по их социокультурной адаптации и интеграции в общество.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Значительную роль в обеспечении межконфессионального мира и согласия в городе, успешной социокультурной адаптации и интеграции мигрантов играют институты гражданского общества. Среди них важное место занимают Набережночелнинский филиал Ассамблеи народов Татарстана, Совет по взаимодействию с религиозными и общественными организациями при Исполнительном комитете муниципального образования город Набережные Челны.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В городе зарегистрировано 39 религиозных организаций, в том числе: мусульманских — 18, православных — 12, старообрядческих — 1, протестантских — 7, иудейских — 1. Представители традиционных религиозных течений ведут просветительскую работу, направленную на недопущение межнациональной и межконфессиональной розни, принимают активное участие в городских и районных мероприятиях. Традиционные религиозные объединения находятся в постоянном взаимодействии с Исполнительным комитетом.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Благодаря системной работе органов местного самоуправления, взаимодействию с лидерами национальных и религиозных объединений на территории города Набережные Челны в 2024–2025 годах межнациональных и межрелигиозных конфликтов не зафиксировано.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Вместе с тем сохраняются внешние и внутренние вызовы, требующие комплексного подхода и решения программно-целевыми методами. К ним относятся: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- масштабность и многогранность задачи укрепления межэтнической интеграции и солидарности в условиях внешнего деструктивного информационного воздействия;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- необходимость противодействия попыткам фальсификации истории, распространению ксенофобии, русофобии и идеологии неонацизма;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- многоаспектность процесса регулирования межнациональных отношений, включая вопросы сохранения и развития языков, культур и традиций народов;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- взаимосвязанность социальных, этнических, миграционных и экономических аспектов формирования общегражданского согласия;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- необходимость усиления работы по социокультурной адаптации и интеграции иностранных граждан, недопущению формирования анклавов на национальной и религиозной основе;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- важность дальнейшего совершенствования взаимодействия органов местного самоуправления, национально-культурных объединений и религиозных организаций в реализации государственной национальной политики и профилактике экстремизма.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Программа нацелена на сохранение и укрепление позитивного характера межнациональных и межконфессиональных отношений в городе Набережные Челны, призвана содействовать удовлетворению этнокультурных потребностей граждан на основе сложившихся традиций взаимоуважения и добрососедства. Реализация программных мероприятий позволит предотвратить возможные проблемы в сфере межэтнических отношений, сохранить и улучшить этнокультурное развитие многонационального населения города, обеспечить достижение целевых показателей, предусмотренных Стратегией государственной национальной политики Российской Федерации на период до 2036 года и Концепцией государственной национальной политики Республики Татарстан.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widowControl w:val="false"/>
        <w:pBdr/>
        <w:spacing w:lineRule="auto" w:line="240" w:before="0" w:after="0"/>
        <w:ind w:firstLine="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Глава 3. Основные цели, задачи программы с указанием сроков и этапов ее реализации </w:t>
      </w:r>
    </w:p>
    <w:p>
      <w:pPr>
        <w:pStyle w:val="Normal"/>
        <w:widowControl w:val="false"/>
        <w:pBdr/>
        <w:spacing w:lineRule="auto" w:line="240" w:before="0" w:after="0"/>
        <w:ind w:firstLine="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Цель программы - сохранение единства многонационального населения</w:t>
      </w:r>
      <w:r>
        <w:rPr>
          <w:rFonts w:eastAsia="Times New Roman" w:cs="Times New Roman" w:ascii="Times New Roman" w:hAnsi="Times New Roman"/>
          <w:color w:val="000000"/>
          <w:lang w:val="ru-RU"/>
        </w:rPr>
        <w:t xml:space="preserve"> города</w:t>
      </w:r>
      <w:r>
        <w:rPr>
          <w:rFonts w:eastAsia="Times New Roman" w:cs="Times New Roman" w:ascii="Times New Roman" w:hAnsi="Times New Roman"/>
          <w:color w:val="000000"/>
        </w:rPr>
        <w:t>, укрепление общероссийской гражданской идентичности (гражданского самосознания) при сохранении этнокультурного и языкового многообразия для обеспечения устойчивого развития, социальной и экономической стабильности в городе.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Задачами программы являются: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1)</w:t>
        <w:tab/>
        <w:t>укрепление гражданского единства и общероссийской гражданской идентичности (гражданского самосознания) на основе традиционных российских духовно-нравственных и культурно-исторических ценностей, в том числе путем патриотического воспитания детей и молодежи, развития исторического краеведения и формирования уважительного отношения к государственным символам Российской Федерации и Республики Татарстан;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2)</w:t>
        <w:tab/>
        <w:t>обеспечение межнационального и межконфессионального мира и согласия, профилактика экстремизма и предупреждение конфликтов на национальной (этнической) и (или) религиозной почве через совершенствование взаимодействия органов местного самоуправления с институтами гражданского общества, включая национально-культурные и религиозные объединения;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3)</w:t>
        <w:tab/>
        <w:t>сохранение и поддержка этнокультурного и языкового многообразия города Набережные Челны, создание условий для функционирования татарского и русского языков (включая русский как язык межнационального общения), развитие родных языков и культур всех народов, а также содействие социокультурной адаптации и интеграции мигрантов в российское общество через ознакомление с русским языком, правовыми основами Российской Федерации, традициями и культурой народов Татарстана;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4)</w:t>
        <w:tab/>
        <w:t>информационное обеспечение реализации государственной национальной политики, формирование единого информационного пространства для пропаганды идей толерантности, гражданской солидарности, уважения к другим культурам, а также противодействие распространению ксенофобии, экстремизма и фальсификации истории.</w:t>
      </w:r>
    </w:p>
    <w:p>
      <w:pPr>
        <w:pStyle w:val="Normal"/>
        <w:widowControl w:val="false"/>
        <w:pBdr/>
        <w:spacing w:lineRule="auto" w:line="240" w:before="0" w:after="0"/>
        <w:ind w:firstLine="567" w:right="-142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Достижение указанных целей и задач будет осуществляться в рамках мероприятий, входящих в программу.</w:t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  <w:bookmarkStart w:id="1" w:name="_heading=h.y3wyvtv1rp4a"/>
      <w:bookmarkStart w:id="2" w:name="_heading=h.y3wyvtv1rp4a"/>
      <w:bookmarkEnd w:id="2"/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Глава 4. Ресурсное обеспечение программы</w:t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tbl>
      <w:tblPr>
        <w:tblStyle w:val="a6"/>
        <w:tblW w:w="10065" w:type="dxa"/>
        <w:jc w:val="left"/>
        <w:tblInd w:w="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3907"/>
        <w:gridCol w:w="1128"/>
        <w:gridCol w:w="1558"/>
        <w:gridCol w:w="1277"/>
        <w:gridCol w:w="2195"/>
      </w:tblGrid>
      <w:tr>
        <w:trPr/>
        <w:tc>
          <w:tcPr>
            <w:tcW w:w="3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left="-57" w:right="-14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Источники и направления расходов</w:t>
            </w:r>
          </w:p>
        </w:tc>
        <w:tc>
          <w:tcPr>
            <w:tcW w:w="6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firstLine="567" w:left="-567" w:right="-143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Объем финансирования (тыс. руб.)</w:t>
            </w:r>
          </w:p>
        </w:tc>
      </w:tr>
      <w:tr>
        <w:trPr/>
        <w:tc>
          <w:tcPr>
            <w:tcW w:w="39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firstLine="567" w:left="-567" w:right="-143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Всего</w:t>
            </w:r>
          </w:p>
        </w:tc>
        <w:tc>
          <w:tcPr>
            <w:tcW w:w="5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firstLine="567" w:left="-567" w:right="-143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 том числе по годам</w:t>
            </w:r>
          </w:p>
        </w:tc>
      </w:tr>
      <w:tr>
        <w:trPr/>
        <w:tc>
          <w:tcPr>
            <w:tcW w:w="39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firstLine="567" w:left="-567" w:right="-143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2025 год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firstLine="567" w:left="-567" w:right="-143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2026 год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firstLine="567" w:left="-567" w:right="-143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2027 год</w:t>
            </w:r>
          </w:p>
        </w:tc>
      </w:tr>
      <w:tr>
        <w:trPr/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right="-14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Бюджет муниципального образования город Набережные Челны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firstLine="567" w:left="-567" w:right="-143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6 200,4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</w:tr>
      <w:tr>
        <w:trPr/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right="-14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Всего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ind w:firstLine="567" w:left="-567" w:right="-143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6 200,4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2 066,8</w:t>
            </w:r>
          </w:p>
        </w:tc>
      </w:tr>
    </w:tbl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widowControl w:val="false"/>
        <w:pBdr/>
        <w:spacing w:lineRule="auto" w:line="240" w:before="0" w:after="0"/>
        <w:ind w:firstLine="567" w:left="-567" w:right="-143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Глава 5. Оценка эффективности и ожидаемые результаты</w:t>
      </w:r>
    </w:p>
    <w:p>
      <w:pPr>
        <w:pStyle w:val="Normal"/>
        <w:widowControl w:val="false"/>
        <w:pBdr/>
        <w:spacing w:lineRule="auto" w:line="240" w:before="0" w:after="0"/>
        <w:ind w:firstLine="567" w:right="-143"/>
        <w:jc w:val="center"/>
        <w:rPr>
          <w:rFonts w:ascii="Times New Roman" w:hAnsi="Times New Roman" w:eastAsia="Times New Roman" w:cs="Times New Roman"/>
          <w:b/>
          <w:bCs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</w:r>
    </w:p>
    <w:p>
      <w:pPr>
        <w:pStyle w:val="Normal"/>
        <w:widowControl w:val="false"/>
        <w:pBdr/>
        <w:spacing w:lineRule="auto" w:line="240" w:before="0" w:after="0"/>
        <w:ind w:firstLine="567" w:right="-143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Эффективность реализации программы обеспечивается согласованной деятельностью органов местного самоуправления, территориальных органов федеральных органов исполнительной власти и институтов гражданского общества, осуществлением комплекса правовых, организационных, социально-экономических, информационных и иных мер, разработанных в соответствии с муниципальной программой «Реализация государственной национальной политики в городе Набережные Челны».</w:t>
      </w:r>
    </w:p>
    <w:p>
      <w:pPr>
        <w:pStyle w:val="Normal"/>
        <w:widowControl w:val="false"/>
        <w:spacing w:lineRule="auto" w:line="240" w:before="0" w:after="0"/>
        <w:ind w:firstLine="567" w:right="-143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Реализация программы позволит обеспечить:</w:t>
      </w:r>
    </w:p>
    <w:p>
      <w:pPr>
        <w:pStyle w:val="Normal"/>
        <w:widowControl w:val="false"/>
        <w:spacing w:lineRule="auto" w:line="240" w:before="0" w:after="0"/>
        <w:ind w:firstLine="567" w:right="-143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улучшение условий для этнокультурного развития народов города, включая сохранение и развитие татарского и русского языков;</w:t>
      </w:r>
    </w:p>
    <w:p>
      <w:pPr>
        <w:pStyle w:val="Normal"/>
        <w:widowControl w:val="false"/>
        <w:spacing w:lineRule="auto" w:line="240" w:before="0" w:after="0"/>
        <w:ind w:firstLine="567" w:right="-143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повышение уровня общероссийской гражданской идентичности и укрепление гражданского единства;</w:t>
      </w:r>
    </w:p>
    <w:p>
      <w:pPr>
        <w:pStyle w:val="Normal"/>
        <w:widowControl w:val="false"/>
        <w:spacing w:lineRule="auto" w:line="240" w:before="0" w:after="0"/>
        <w:ind w:firstLine="567" w:right="-143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сохранение системы социокультурной адаптации и интеграции мигрантов;</w:t>
      </w:r>
    </w:p>
    <w:p>
      <w:pPr>
        <w:pStyle w:val="Normal"/>
        <w:widowControl w:val="false"/>
        <w:spacing w:lineRule="auto" w:line="240" w:before="0" w:after="0"/>
        <w:ind w:firstLine="567" w:right="-143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- снижение рисков конфликтов на национальной и религиозной почве, формирование толерантной среды в молодёжной среде;</w:t>
      </w:r>
    </w:p>
    <w:p>
      <w:pPr>
        <w:pStyle w:val="Normal"/>
        <w:widowControl w:val="false"/>
        <w:spacing w:lineRule="auto" w:line="240" w:before="0" w:after="0"/>
        <w:ind w:firstLine="567" w:right="-143"/>
        <w:jc w:val="both"/>
        <w:rPr>
          <w:rFonts w:ascii="Times New Roman" w:hAnsi="Times New Roman" w:eastAsia="Times New Roman" w:cs="Times New Roman"/>
          <w:lang w:val="ru-RU"/>
        </w:rPr>
      </w:pPr>
      <w:r>
        <w:rPr>
          <w:rFonts w:eastAsia="Times New Roman" w:cs="Times New Roman" w:ascii="Times New Roman" w:hAnsi="Times New Roman"/>
        </w:rPr>
        <w:t>- формирование единого информационного пространства для пропаганды идей толерантности и гражданской солидарности</w:t>
      </w:r>
      <w:r>
        <w:rPr>
          <w:rFonts w:eastAsia="Times New Roman" w:cs="Times New Roman" w:ascii="Times New Roman" w:hAnsi="Times New Roman"/>
          <w:lang w:val="ru-RU"/>
        </w:rPr>
        <w:t>;</w:t>
      </w:r>
    </w:p>
    <w:p>
      <w:pPr>
        <w:pStyle w:val="Normal"/>
        <w:widowControl w:val="false"/>
        <w:spacing w:lineRule="auto" w:line="240" w:before="0" w:after="0"/>
        <w:ind w:firstLine="567" w:right="-143"/>
        <w:jc w:val="both"/>
        <w:rPr>
          <w:rFonts w:ascii="Times New Roman" w:hAnsi="Times New Roman" w:eastAsia="Times New Roman" w:cs="Times New Roman"/>
          <w:lang w:val="ru-RU"/>
        </w:rPr>
      </w:pPr>
      <w:r>
        <w:rPr>
          <w:rFonts w:eastAsia="Times New Roman" w:cs="Times New Roman" w:ascii="Times New Roman" w:hAnsi="Times New Roman"/>
        </w:rPr>
        <w:t>- развитие среди молодежи интереса к изучению культуры и истории своего города и Республики</w:t>
      </w:r>
      <w:r>
        <w:rPr>
          <w:rFonts w:eastAsia="Times New Roman" w:cs="Times New Roman" w:ascii="Times New Roman" w:hAnsi="Times New Roman"/>
          <w:lang w:val="ru-RU"/>
        </w:rPr>
        <w:t xml:space="preserve"> Татарстан;</w:t>
      </w:r>
    </w:p>
    <w:p>
      <w:pPr>
        <w:pStyle w:val="Normal"/>
        <w:widowControl w:val="false"/>
        <w:spacing w:lineRule="auto" w:line="240" w:before="0" w:after="0"/>
        <w:jc w:val="both"/>
        <w:rPr/>
      </w:pPr>
      <w:r>
        <w:rPr/>
      </w:r>
    </w:p>
    <w:tbl>
      <w:tblPr>
        <w:tblStyle w:val="a7"/>
        <w:tblW w:w="1006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00" w:noHBand="0" w:lastColumn="0" w:firstColumn="0" w:lastRow="0" w:firstRow="0"/>
      </w:tblPr>
      <w:tblGrid>
        <w:gridCol w:w="559"/>
        <w:gridCol w:w="4051"/>
        <w:gridCol w:w="5455"/>
      </w:tblGrid>
      <w:tr>
        <w:trPr/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№</w:t>
            </w:r>
          </w:p>
          <w:p>
            <w:pPr>
              <w:pStyle w:val="Normal"/>
              <w:widowControl w:val="false"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п/п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Наименование индикатора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Формула расчета</w:t>
            </w:r>
          </w:p>
        </w:tc>
      </w:tr>
      <w:tr>
        <w:trPr/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553" w:leader="none"/>
              </w:tabs>
              <w:spacing w:lineRule="auto" w:line="252" w:before="0" w:after="0"/>
              <w:ind w:right="-122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Доля участников мероприятий, направленных на гармонизацию межнациональных и межконфессиональных отношений в городе Набережные Челны 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Cambria Math" w:hAnsi="Cambria Math" w:eastAsia="Cambria Math" w:cs="Cambria Math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f>
                  <m:num>
                    <m:r>
                      <w:rPr>
                        <w:rFonts w:ascii="Cambria Math" w:hAnsi="Cambria Math"/>
                      </w:rPr>
                      <m:t xml:space="preserve">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D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∗</m:t>
                </m:r>
                <m:r>
                  <w:rPr>
                    <w:rFonts w:ascii="Cambria Math" w:hAnsi="Cambria Math"/>
                  </w:rPr>
                  <m:t xml:space="preserve">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%</m:t>
                </m:r>
              </m:oMath>
            </m:oMathPara>
          </w:p>
          <w:p>
            <w:pPr>
              <w:pStyle w:val="Normal"/>
              <w:widowControl w:val="false"/>
              <w:spacing w:lineRule="auto" w:line="252" w:before="0" w:after="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N – количество участников мероприятий, направленных на гармонизацию межнациональных и межконфессиональных отношений в городе Набережные Челны;</w:t>
            </w:r>
          </w:p>
          <w:p>
            <w:pPr>
              <w:pStyle w:val="Normal"/>
              <w:widowControl w:val="false"/>
              <w:spacing w:lineRule="auto" w:line="252" w:before="0" w:after="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D - общее количество участников мероприятий в программе. </w:t>
            </w:r>
          </w:p>
        </w:tc>
      </w:tr>
      <w:tr>
        <w:trPr/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2.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2" w:before="0" w:after="0"/>
              <w:ind w:left="8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Численность участников мероприятий, направленных на этнокультурное (это традиционно существующие или недавно самоорганизовавшиеся объединения граждан по этническому, этнокультурному или религиозному принципу) развитие народов, проживающих в городе Набережные Челны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2" w:before="0" w:after="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Запланировано ежегодное увеличение численности участников мероприятий, направленных на этнокультурное развитие народов проживающих в городе Набережные Челны.</w:t>
            </w:r>
          </w:p>
        </w:tc>
      </w:tr>
    </w:tbl>
    <w:p>
      <w:pPr>
        <w:sectPr>
          <w:type w:val="nextPage"/>
          <w:pgSz w:w="11906" w:h="16838"/>
          <w:pgMar w:left="1134" w:right="850" w:gutter="0" w:header="0" w:top="1134" w:footer="0" w:bottom="851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widowControl w:val="false"/>
        <w:pBdr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Глава 6. Индикаторы оценки результатов, мероприятия программы и финансирование по мероприятиям </w:t>
      </w:r>
    </w:p>
    <w:p>
      <w:pPr>
        <w:pStyle w:val="Normal"/>
        <w:widowControl w:val="false"/>
        <w:pBdr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</w:r>
    </w:p>
    <w:tbl>
      <w:tblPr>
        <w:tblStyle w:val="a8"/>
        <w:tblW w:w="15309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2002"/>
        <w:gridCol w:w="43"/>
        <w:gridCol w:w="929"/>
        <w:gridCol w:w="43"/>
        <w:gridCol w:w="1127"/>
        <w:gridCol w:w="7"/>
        <w:gridCol w:w="1519"/>
        <w:gridCol w:w="139"/>
        <w:gridCol w:w="724"/>
        <w:gridCol w:w="698"/>
        <w:gridCol w:w="706"/>
        <w:gridCol w:w="851"/>
        <w:gridCol w:w="1469"/>
        <w:gridCol w:w="849"/>
        <w:gridCol w:w="848"/>
        <w:gridCol w:w="66"/>
        <w:gridCol w:w="738"/>
        <w:gridCol w:w="49"/>
        <w:gridCol w:w="2501"/>
      </w:tblGrid>
      <w:tr>
        <w:trPr/>
        <w:tc>
          <w:tcPr>
            <w:tcW w:w="2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01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Исполнители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Сроки реализации</w:t>
            </w:r>
          </w:p>
        </w:tc>
        <w:tc>
          <w:tcPr>
            <w:tcW w:w="1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Целевые индикаторы и показатели результативности, единицы измерения</w:t>
            </w:r>
          </w:p>
        </w:tc>
        <w:tc>
          <w:tcPr>
            <w:tcW w:w="3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Значения индикаторов</w:t>
            </w:r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25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Объем финансирования с указанием источника, тыс. рублей</w:t>
            </w:r>
          </w:p>
        </w:tc>
        <w:tc>
          <w:tcPr>
            <w:tcW w:w="2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Ожидаемый результат</w:t>
            </w:r>
          </w:p>
        </w:tc>
      </w:tr>
      <w:tr>
        <w:trPr/>
        <w:tc>
          <w:tcPr>
            <w:tcW w:w="20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01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2024 год (оценка)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14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25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15308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целей: сохранение единства многонационального населения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 xml:space="preserve"> города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, укрепление общероссийской гражданской идентичности (гражданского самосознания) при сохранении этнокультурного и языкового многообразия для обеспечения устойчивого развития, социальной и экономической стабильности в городе</w:t>
            </w:r>
          </w:p>
        </w:tc>
      </w:tr>
      <w:tr>
        <w:trPr/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– 2027 гг.</w:t>
            </w:r>
          </w:p>
        </w:tc>
        <w:tc>
          <w:tcPr>
            <w:tcW w:w="1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2D2D2D"/>
                <w:sz w:val="20"/>
                <w:szCs w:val="20"/>
              </w:rPr>
              <w:t>Доля участников мероприятий направленных на гармонизацию межнациональных и межконфессиональных отношений в городе Набережные Челны, %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69,6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70,4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– 2027 гг.</w:t>
            </w:r>
          </w:p>
        </w:tc>
        <w:tc>
          <w:tcPr>
            <w:tcW w:w="1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52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Численность участников мероприятий, направленных на этнокультурное развитие народов проживающих в городе Набережные Челны, чел.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55 120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56 525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57 715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58 120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widowControl w:val="false"/>
        <w:pBdr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Normal"/>
        <w:widowControl w:val="false"/>
        <w:pBdr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Normal"/>
        <w:widowControl w:val="false"/>
        <w:pBdr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Normal"/>
        <w:widowControl w:val="false"/>
        <w:pBdr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Normal"/>
        <w:widowControl w:val="false"/>
        <w:pBdr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tbl>
      <w:tblPr>
        <w:tblStyle w:val="a9"/>
        <w:tblW w:w="15876" w:type="dxa"/>
        <w:jc w:val="left"/>
        <w:tblInd w:w="-7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566"/>
        <w:gridCol w:w="1843"/>
        <w:gridCol w:w="1134"/>
        <w:gridCol w:w="1134"/>
        <w:gridCol w:w="1701"/>
        <w:gridCol w:w="851"/>
        <w:gridCol w:w="850"/>
        <w:gridCol w:w="851"/>
        <w:gridCol w:w="849"/>
        <w:gridCol w:w="1843"/>
        <w:gridCol w:w="851"/>
        <w:gridCol w:w="851"/>
        <w:gridCol w:w="851"/>
        <w:gridCol w:w="1700"/>
      </w:tblGrid>
      <w:tr>
        <w:trPr/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Исполнители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Сроки реализации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Целевые индикаторы и показатели результативности, единицы измерения</w:t>
            </w:r>
          </w:p>
        </w:tc>
        <w:tc>
          <w:tcPr>
            <w:tcW w:w="3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Значения индикаторов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Объем финансирования с указанием источника, тыс. рублей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Ожидаемый результат </w:t>
            </w:r>
          </w:p>
        </w:tc>
      </w:tr>
      <w:tr>
        <w:trPr/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2024 год (оценка)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</w:t>
            </w:r>
          </w:p>
        </w:tc>
      </w:tr>
    </w:tbl>
    <w:p>
      <w:pPr>
        <w:pStyle w:val="Normal"/>
        <w:widowControl w:val="false"/>
        <w:pBdr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tbl>
      <w:tblPr>
        <w:tblStyle w:val="aa"/>
        <w:tblpPr w:vertAnchor="text" w:horzAnchor="text" w:leftFromText="180" w:rightFromText="180" w:tblpX="-655" w:tblpY="1"/>
        <w:tblW w:w="1588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511"/>
        <w:gridCol w:w="1874"/>
        <w:gridCol w:w="1141"/>
        <w:gridCol w:w="1160"/>
        <w:gridCol w:w="1718"/>
        <w:gridCol w:w="796"/>
        <w:gridCol w:w="855"/>
        <w:gridCol w:w="854"/>
        <w:gridCol w:w="855"/>
        <w:gridCol w:w="1860"/>
        <w:gridCol w:w="856"/>
        <w:gridCol w:w="855"/>
        <w:gridCol w:w="855"/>
        <w:gridCol w:w="1694"/>
      </w:tblGrid>
      <w:tr>
        <w:trPr/>
        <w:tc>
          <w:tcPr>
            <w:tcW w:w="15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задачи: 1. Обеспечение межнационального и межконфессионального мира и согласия, предупреждение конфликтов на национальной (этнической) и (или) религиозной почве через совершенствование взаимодействия органов местного самоуправления с институтами гражданского общества, включая национально-культурные и религиозные объединения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tabs>
                <w:tab w:val="clear" w:pos="720"/>
                <w:tab w:val="left" w:pos="1188" w:leader="none"/>
                <w:tab w:val="left" w:pos="1225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Обеспечение соблюдения порядка организации и проведения публичных мероприятий в соответствии с требованиями Федерального закона от 19.06.2004 № 54-ФЗ «О собраниях, митингах, демонстрациях, шествиях и пикетированиях» со стороны организаторов мероприятий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информационной политики и по связям с общественностью Исполнительного комитета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2025 - 2027 гг.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подготовленных отчетов по проведенным публичным мероприятиям, единиц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tabs>
                <w:tab w:val="clear" w:pos="720"/>
                <w:tab w:val="left" w:pos="1813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tabs>
                <w:tab w:val="clear" w:pos="720"/>
                <w:tab w:val="left" w:pos="1600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Создание в городе благоприятной атмосферы для поддержания межнационального и межконфессионального согласия</w:t>
            </w:r>
          </w:p>
        </w:tc>
      </w:tr>
      <w:tr>
        <w:trPr>
          <w:trHeight w:val="2835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Ежеквартальные встречи председателей национальных общин с представителями Управления федеральной миграционной службы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информационной политики и по связям с общественностью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Исполнительного комитета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2025 - 2027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проведенных мероприятий, единиц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Национально-культурное развитие народов, проживающих в городе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Участие председателей национальных общин в Выездном заседании Ассамблеи народов Татарстана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2025 - 2027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участников, 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Национально-культурное развитие народов, проживающих в городе, профилактика экстремизма на национальной и религиозной почве</w:t>
            </w:r>
          </w:p>
        </w:tc>
      </w:tr>
      <w:tr>
        <w:trPr/>
        <w:tc>
          <w:tcPr>
            <w:tcW w:w="15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задачи: 2. Укрепление гражданского единства и общероссийской гражданской идентичности (гражданского самосознания) на основе традиционных российских духовно-нравственных и культурно-исторических ценностей, в том числе путем патриотического воспитания детей и молодежи, развития исторического краеведения и формирования уважительного отношения к государственным символам Российской Федерации и Республики Татарстан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Содействие религиозным организациям в реализации культурно-просветительских и благотворительных программ, способствующих межконфессиональному взаимопониманию и согласию (Рождество, Пасха, крестные ходы в честь Крещения, Ураза байрам, Курбан байрам, Дни Памяти)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информационной политики и по связям с общественностью Исполнительного комитета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участников, человек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По факту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По факту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По факту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По факту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Создание в городе благоприятной атмосферы для поддержания межнационального и межконфессионального согласия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Создание условий для совместной работы Закамского благочиния Казанской епархии РПЦ и мухтасибата ДУМ РТ: социальные, благотворительные мероприятия, взаимные визиты, круглые столы и др.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информационной политики и по связям с общественностью Исполнительного комитета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проведенных мероприятий, единиц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Создание в городе благоприятной атмосферы для поддержания межнационального и межконфессионального согласия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Содействие в проведении ежегодного межреспубликанского конкурса юных чтецов Корана в мечети «Ак мечеть»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информационной политики и по связям с общественностью Исполнительного комитета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участников, человек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174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Создание в городе благоприятной атмосферы для поддержания межнационального и межконфессионального согласия</w:t>
            </w:r>
          </w:p>
        </w:tc>
      </w:tr>
      <w:tr>
        <w:trPr/>
        <w:tc>
          <w:tcPr>
            <w:tcW w:w="15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Наименование задачи: 3.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Сохранение и поддержка этнокультурного и языкового многообразия города Набережные Челны, создание условий для функционирования татарского и русского языков (включая русский как язык межнационального общения), развитие родных языков и культур всех народов, а также содействие социокультурной адаптации и интеграции мигрантов в российское общество через ознакомление с русским языком, правовыми основами Российской Федерации, традициями и культурой народов Татарстана</w:t>
            </w:r>
          </w:p>
        </w:tc>
      </w:tr>
      <w:tr>
        <w:trPr>
          <w:trHeight w:val="1024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Организация муниципального тура республиканского конкурса «Илhамлы калэм»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 Исполнительного комитета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1 030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1 035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1 040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1 045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и подростков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Организация и проведение фестиваля народов Поволжья «Диалог-культур»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 Исполнительного комитета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и подростков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9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Организация и проведение муниципального конкурса «Татар малае» (1 - 4 кл.)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 Исполнительного комитета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и подростков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Организация и проведение муниципального конкурса «Татар малае» (5 - 8 кл.)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 Исполнительного комитета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и подростков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Организация и проведение муниципального конкурса «Татар малае, татар кызы» (дошкольники)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 Исполнительного комитета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245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70,0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и подростков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Организация и проведение муниципального тура республиканского конкурса «Мин татарча сойлэшэм»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 Исполнительного комитета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и подростков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Организация и проведение муниципального конкурса «Татар кызы»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 xml:space="preserve"> (1-4 кл.)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 Исполнительного комитета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50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школьного возраста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Организация и проведение муниципального конкурса «Татар кызы»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 xml:space="preserve"> (5-8 кл.)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 Исполнительного комитета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55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55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25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25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школьного возраста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Проведение Дня родного языка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 Исполнительного комитета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и подростков</w:t>
            </w:r>
          </w:p>
        </w:tc>
      </w:tr>
      <w:tr>
        <w:trPr>
          <w:trHeight w:val="355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Организация и проведение городской программы «Содружество»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 Исполнительного комитета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1 030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1 035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1 040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1 045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и подростков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7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Организация и проведение муниципального конкурса «Звездочки XXI века» среди детских коллективов дошкольных образовательных учреждений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 Исполнительного комитета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330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335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340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345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дошкольного возраста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18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Организация и проведение мероприятия ко Дню памяти святых Петра и Февронии Муромских, покровителей семьи, любви и верности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Количество участников и зрителей,</w:t>
            </w:r>
          </w:p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человек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330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335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340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345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30,0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30,0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Культурно-историческая социализация населения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19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спартакиады национальных общин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Формирование единого культурного пространства, популяризация национальных видов спорта, традиционных игр представителей народов, проживающих в городе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0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Восточного Нового года совместно с корейской общиной «Ариран»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Сохранение культурного разнообразия и традиций корейского народа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1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национального праздника «Навруз» в таджикской, лезгинской, азербайджанской, узбекской, казахской, башкирской общинах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народов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2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национального праздника «Навруз» в городе Набережные Челны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585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595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народов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3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мероприятия «День немецкой культуры»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Сохранение культурного разнообразия и традиций немецкого народа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4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чувашского национально-обрядового праздника «Уяв»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населения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5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народно-обрядового славянского праздника «Иван Купала»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1 035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1 040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1 045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населения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6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г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white"/>
              </w:rPr>
              <w:t>ородского народно-обрядового праздника «Питрау»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665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675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680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населения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7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традиционного обрядового праздника кряшен «Нардуган»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населения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28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Развлекательно-познавательная программа «Радужное многоцветие» для воспитанников дошкольных образовательных учреждений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концертов, ед.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детей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 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29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Конкурсно - развлекательная программа для молодежи национальных общин «Во имя любви»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283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283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283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283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молодежи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0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Городской конкурс для детей младшего школьного возраста «Национальная куколка»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конкурса,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детей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1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Фестиваль национальных общин «Доброе братство - лучшее богатство»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1 010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Формирование позитивных ценностей и установок на уважение, сохранение культурного многообразия народов, проживающих в городе и республике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2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Фестиваль родного языка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Сохранение и развитие языкового многообразия языков народов, проживающих в городе Набережные Челны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3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Экскурсии по комнатам национальных общин для обучающихся общеобразовательных организаций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экскурсий, единиц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детей и подростков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4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национального праздника «Карга боткасы» совместно с башкирской общиной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1150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Сохранение и развитие национального многообразия культур народов, проживающих в городе Набережные Челны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5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армянского национального праздника «Терендез»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Сохранение и развитие национального многообразия культур народов, проживающих в городе Набережные Челны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36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фестиваля народного творчества финно-угорских народов «Мы ветви древа одного»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населения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марийского национального праздника «Шорыкйол пайрем»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населения</w:t>
            </w:r>
          </w:p>
        </w:tc>
      </w:tr>
      <w:tr>
        <w:trPr>
          <w:trHeight w:val="39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38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Народно-обрядовый праздник «Каз омэсе»</w:t>
            </w:r>
          </w:p>
        </w:tc>
        <w:tc>
          <w:tcPr>
            <w:tcW w:w="11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культуры</w:t>
            </w:r>
          </w:p>
        </w:tc>
        <w:tc>
          <w:tcPr>
            <w:tcW w:w="11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участников и зрителей,</w:t>
            </w:r>
          </w:p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602</w:t>
            </w:r>
          </w:p>
        </w:tc>
        <w:tc>
          <w:tcPr>
            <w:tcW w:w="8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602</w:t>
            </w:r>
          </w:p>
        </w:tc>
        <w:tc>
          <w:tcPr>
            <w:tcW w:w="8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602</w:t>
            </w:r>
          </w:p>
        </w:tc>
        <w:tc>
          <w:tcPr>
            <w:tcW w:w="8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602</w:t>
            </w:r>
          </w:p>
        </w:tc>
        <w:tc>
          <w:tcPr>
            <w:tcW w:w="18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8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8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16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140"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Культурно-историческая социализация населения</w:t>
            </w:r>
          </w:p>
        </w:tc>
      </w:tr>
      <w:tr>
        <w:trPr>
          <w:trHeight w:val="458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39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Организация и проведение городского праздника «Масленица»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Управление культуры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Количество участников и зрителей, </w:t>
            </w:r>
          </w:p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8 350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8 355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8 360</w:t>
            </w:r>
          </w:p>
          <w:p>
            <w:pPr>
              <w:pStyle w:val="Normal"/>
              <w:widowControl w:val="false"/>
              <w:suppressLineNumbers/>
              <w:spacing w:before="0"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8 365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75,0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75,0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75,0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Культурно-историческая социализация населения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Городской проект «Фольклорные посиделки по национальным праздникам «Милли бәйрәмнәр»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Управление культуры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Количество участников и зрителей, </w:t>
            </w:r>
          </w:p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spacing w:lineRule="auto" w:line="252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cs="Times New Roman" w:ascii="Times New Roman" w:hAnsi="Times New Roman"/>
                <w:sz w:val="20"/>
                <w:lang w:eastAsia="en-US"/>
              </w:rPr>
              <w:t>170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spacing w:lineRule="auto" w:line="252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cs="Times New Roman" w:ascii="Times New Roman" w:hAnsi="Times New Roman"/>
                <w:sz w:val="20"/>
                <w:lang w:eastAsia="en-US"/>
              </w:rPr>
              <w:t>175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spacing w:lineRule="auto" w:line="252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cs="Times New Roman" w:ascii="Times New Roman" w:hAnsi="Times New Roman"/>
                <w:sz w:val="20"/>
                <w:lang w:eastAsia="en-US"/>
              </w:rPr>
              <w:t>180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Культурно-историческая социализация детей и молодежи</w:t>
            </w:r>
          </w:p>
        </w:tc>
      </w:tr>
      <w:tr>
        <w:trPr>
          <w:trHeight w:val="379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eastAsia="Calibri" w:cs="Times New Roman" w:ascii="Times New Roman" w:hAnsi="Times New Roman"/>
                <w:sz w:val="20"/>
              </w:rPr>
              <w:t>Организация и проведение национального праздника «Сабантуй»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Управление культуры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Количество участников и зрителей, </w:t>
            </w:r>
          </w:p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17 500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18 000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18 500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19 000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332,8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332,8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332,8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Сохранение и развитие национального многообразия культур народов, проживающих в городе Набережные Челны</w:t>
            </w:r>
          </w:p>
        </w:tc>
      </w:tr>
      <w:tr>
        <w:trPr>
          <w:trHeight w:val="431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eastAsia="Calibri" w:cs="Times New Roman" w:ascii="Times New Roman" w:hAnsi="Times New Roman"/>
                <w:sz w:val="20"/>
              </w:rPr>
              <w:t>Организация и проведение городского праздника, посвященного Дню Республики Татарстан и Дню города Набережные Челны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Управление культуры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Количество участников и зрителей, </w:t>
            </w:r>
          </w:p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14 800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15 000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15 500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15 800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150,0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Культурно-историческая социализация населения</w:t>
            </w:r>
          </w:p>
        </w:tc>
      </w:tr>
      <w:tr>
        <w:trPr>
          <w:trHeight w:val="431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Культурно-образовательный проект «Этнос и культура Поволжья»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Управление культуры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Количество участников и зрителей, </w:t>
            </w:r>
          </w:p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125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135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140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72,0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72,0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72,0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Сохранение и развитие национального многообразия культур народов, проживающих в городе Набережные Челны</w:t>
            </w:r>
          </w:p>
        </w:tc>
      </w:tr>
      <w:tr>
        <w:trPr>
          <w:trHeight w:val="48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Фестиваль национальных блюд «Кулинар зона «Тәм-том»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Управление по делам молодежи Исполнительного комитета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Развитие среди молодежи интереса к изучению культуры и истории своего города и Республики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Интеллектуальная игра «Мин - патриот»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Управление по делам молодежи Исполнительного комитета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Развитие среди молодежи интереса к изучению культуры и истории своего города и Республики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Проект «Татар квест»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Управление по делам молодежи Исполнительного комитета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Развитие среди молодежи интереса к изучению культуры и истории своего города и Республики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Организация и проведение регионального молодежного фестиваля татарского национального творчества «Халкым чишмәсе»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Управление по делам молодежи Исполнительного комитета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Развитие среди молодежи интереса к изучению культуры и истории своего города и Республики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48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регионального проекта «Татар егете»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по делам молодежи Исполнительного комитета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Развитие среди молодежи интереса к изучению культуры и истории своего города и Республики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49.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Организация и проведение городского национального творческого проекта «Серле сандык» («Волшебный сундук»)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по делам молодежи Исполнительного комитета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Развитие среди молодежи интереса к изучению культуры и истории своего города и Республики</w:t>
            </w:r>
          </w:p>
        </w:tc>
      </w:tr>
      <w:tr>
        <w:trPr/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50.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Форум татарской молодежи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по делам молодежи Исполнительного комитета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Развитие среди молодежи интереса к изучению культуры и истории своего города и Республики</w:t>
            </w:r>
          </w:p>
        </w:tc>
      </w:tr>
      <w:tr>
        <w:trPr/>
        <w:tc>
          <w:tcPr>
            <w:tcW w:w="15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задачи: 4. Информационное обеспечение реализации государственной национальной политики, формирование единого информационного пространства для пропаганды идей толерантности, гражданской солидарности, уважения к другим культурам</w:t>
            </w:r>
          </w:p>
        </w:tc>
      </w:tr>
      <w:tr>
        <w:trPr>
          <w:trHeight w:val="3011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Анонсирование мероприятий на официальном сайте города Набережные Челны в сети «Интернет» и в городских средствах массовой информации, публикация пост-релизов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Управление культуры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Количество публикаций, анонсов, телепередач, интервью и выступлений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Формирование единого информационного пространства для пропаганды и распространения идей толерантности, сохранения межнационального и межконфессионального согласия</w:t>
            </w:r>
          </w:p>
        </w:tc>
      </w:tr>
      <w:tr>
        <w:trPr>
          <w:trHeight w:val="3011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Размещение на официальном сайте города Набережные Челны в сети «Интернет» информации, способствующей укреплению межэтнических и межрелигиозных отношений, противодействию религиозной и этнической нетерпимости и дискриминации, а также освещение проводимых в городе мероприятий, способствующих укреплению межэтнических и межрелигиозных отношений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Управление культуры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2025 - 2027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Количество публикаций на официальном сайте муниципального образования город Набережные Челны, единиц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14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suppressLineNumbers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Создание в городе благоприятной атмосферы для поддержания межнационального и межконфессионального согласия</w:t>
            </w:r>
          </w:p>
        </w:tc>
      </w:tr>
      <w:tr>
        <w:trPr>
          <w:trHeight w:val="3011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3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Ежеквартальное формирование и актуализация банка данных о религиозных организациях и культовых сооружениях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Управление информационной политики и по связям с общественностью Исполнительного комитета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– 2027 гг.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обновлений баз данных, единиц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ab/>
              <w:t xml:space="preserve"> </w:t>
              <w:tab/>
              <w:t xml:space="preserve"> </w:t>
              <w:tab/>
              <w:t xml:space="preserve"> </w:t>
              <w:tab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Создание в городе благоприятной атмосферы для поддержания межнационального и межконфессионального согласия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11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54</w:t>
            </w:r>
            <w:bookmarkStart w:id="3" w:name="_GoBack"/>
            <w:bookmarkEnd w:id="3"/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Издание сборника лучших разработок уроков, мероприятий на родном (татарском, русском) языке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Управление образования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Исполнительного комитета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2025 – 2027 гг.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Количество экземпляров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 муниципального образования город Набережные Челны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25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25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Культурно-историческая социализация детей и подростков</w:t>
            </w:r>
          </w:p>
        </w:tc>
      </w:tr>
      <w:tr>
        <w:trPr>
          <w:trHeight w:val="1104" w:hRule="atLeast"/>
        </w:trPr>
        <w:tc>
          <w:tcPr>
            <w:tcW w:w="15884" w:type="dxa"/>
            <w:gridSpan w:val="14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pBdr/>
              <w:tabs>
                <w:tab w:val="clear" w:pos="720"/>
                <w:tab w:val="left" w:pos="10093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Заместитель Руководителя Аппарата,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10093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начальник управления делопроизводством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10093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Исполнительного комитета                                                                                                                                                                                                                  Н.И. Галиева</w:t>
            </w:r>
          </w:p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993" w:footer="0" w:bottom="851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>
          <w:rFonts w:eastAsia="Times New Roman" w:cs="Times New Roman" w:ascii="Times New Roman" w:hAnsi="Times New Roman"/>
          <w:b/>
          <w:bCs/>
        </w:rPr>
        <w:t>Реестр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на выдачу постановлений (распоряжений)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Исполнительного комитета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от «____» __________________202</w:t>
      </w:r>
      <w:r>
        <w:rPr>
          <w:rFonts w:eastAsia="Times New Roman" w:cs="Times New Roman" w:ascii="Times New Roman" w:hAnsi="Times New Roman"/>
          <w:b/>
          <w:bCs/>
          <w:lang w:val="ru-RU"/>
        </w:rPr>
        <w:t>6</w:t>
      </w:r>
      <w:r>
        <w:rPr>
          <w:rFonts w:eastAsia="Times New Roman" w:cs="Times New Roman" w:ascii="Times New Roman" w:hAnsi="Times New Roman"/>
          <w:b/>
          <w:bCs/>
        </w:rPr>
        <w:t xml:space="preserve"> г.№_________</w:t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(дата и номер постановления и распоряжения)</w:t>
      </w:r>
    </w:p>
    <w:p>
      <w:pPr>
        <w:pStyle w:val="Normal"/>
        <w:spacing w:lineRule="auto" w:line="240" w:before="0" w:after="0"/>
        <w:jc w:val="center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О внесении изменений в Постановление</w:t>
      </w:r>
    </w:p>
    <w:p>
      <w:pPr>
        <w:pStyle w:val="Normal"/>
        <w:spacing w:lineRule="auto" w:line="240" w:before="0" w:after="0"/>
        <w:jc w:val="center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Исполнительного комитета от 22.10.2024 № 6968</w:t>
      </w:r>
    </w:p>
    <w:p>
      <w:pPr>
        <w:pStyle w:val="Normal"/>
        <w:spacing w:lineRule="auto" w:line="240" w:before="0" w:after="0"/>
        <w:ind w:right="-143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«Об утверждении муниципальной программы</w:t>
      </w:r>
    </w:p>
    <w:p>
      <w:pPr>
        <w:pStyle w:val="Normal"/>
        <w:spacing w:lineRule="auto" w:line="240" w:before="0" w:after="0"/>
        <w:ind w:right="-143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«Реализация государственной национальной</w:t>
      </w:r>
    </w:p>
    <w:p>
      <w:pPr>
        <w:pStyle w:val="Normal"/>
        <w:spacing w:lineRule="auto" w:line="240" w:before="0" w:after="0"/>
        <w:ind w:right="-143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политики в городе Набережные Челны на 2025 - 2027 годы»</w:t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 </w:t>
      </w:r>
      <w:r>
        <w:rPr>
          <w:rFonts w:eastAsia="Times New Roman" w:cs="Times New Roman" w:ascii="Times New Roman" w:hAnsi="Times New Roman"/>
          <w:sz w:val="20"/>
          <w:szCs w:val="20"/>
        </w:rPr>
        <w:t>(название постановления)</w:t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0"/>
          <w:szCs w:val="20"/>
          <w:u w:val="single"/>
        </w:rPr>
      </w:pPr>
      <w:r>
        <w:rPr>
          <w:rFonts w:eastAsia="Times New Roman" w:cs="Times New Roman" w:ascii="Times New Roman" w:hAnsi="Times New Roman"/>
          <w:sz w:val="20"/>
          <w:szCs w:val="20"/>
          <w:u w:val="single"/>
        </w:rPr>
      </w:r>
    </w:p>
    <w:tbl>
      <w:tblPr>
        <w:tblStyle w:val="ab"/>
        <w:tblW w:w="10137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00" w:noHBand="0" w:lastColumn="0" w:firstColumn="0" w:lastRow="0" w:firstRow="0"/>
      </w:tblPr>
      <w:tblGrid>
        <w:gridCol w:w="823"/>
        <w:gridCol w:w="4097"/>
        <w:gridCol w:w="1184"/>
        <w:gridCol w:w="1756"/>
        <w:gridCol w:w="2277"/>
      </w:tblGrid>
      <w:tr>
        <w:trPr/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№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выдачи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фамилия получающего</w:t>
            </w:r>
          </w:p>
        </w:tc>
      </w:tr>
      <w:tr>
        <w:trPr>
          <w:trHeight w:val="310" w:hRule="atLeast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Сектор контроля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Дерлюкова Е.В.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Карамиев Р.Р.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Азрапкина Э.Ш.</w:t>
            </w:r>
          </w:p>
        </w:tc>
      </w:tr>
      <w:tr>
        <w:trPr/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Харисов В.Х.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Мулюкова С.Р.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8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205" w:leader="none"/>
              </w:tabs>
              <w:spacing w:lineRule="auto" w:line="36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Н.А. Кропотова 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8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205" w:leader="none"/>
              </w:tabs>
              <w:spacing w:lineRule="auto" w:line="360" w:before="0" w:after="0"/>
              <w:rPr>
                <w:sz w:val="20"/>
                <w:szCs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Кашапов В.Х.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205" w:leader="none"/>
              </w:tabs>
              <w:spacing w:lineRule="auto" w:line="36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Л.А. Видинеева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205" w:leader="none"/>
              </w:tabs>
              <w:spacing w:lineRule="auto" w:line="36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Р.Р. Галиуллин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10.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205" w:leader="none"/>
              </w:tabs>
              <w:spacing w:lineRule="auto" w:line="36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Зарипова Р.Г.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11.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205" w:leader="none"/>
              </w:tabs>
              <w:spacing w:lineRule="auto" w:line="36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Ахметова Г.К.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spacing w:before="0" w:after="16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Азрапкина Э.Ш., 305691</w:t>
      </w:r>
    </w:p>
    <w:sectPr>
      <w:type w:val="nextPage"/>
      <w:pgSz w:w="11906" w:h="16838"/>
      <w:pgMar w:left="851" w:right="851" w:gutter="0" w:header="0" w:top="1134" w:footer="0" w:bottom="1134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default"/>
    <w:embedRegular r:id="rId5" w:fontKey="{05014A78-CABC-4EF0-12AC-5CD89AEFDE05}"/>
    <w:embedBold r:id="rId6" w:fontKey="{06014A78-CABC-4EF0-12AC-5CD89AEFDE06}"/>
    <w:embedItalic r:id="rId7" w:fontKey="{07014A78-CABC-4EF0-12AC-5CD89AEFDE07}"/>
  </w:font>
  <w:font w:name="Segoe UI">
    <w:charset w:val="01"/>
    <w:family w:val="roman"/>
    <w:pitch w:val="default"/>
    <w:embedRegular r:id="rId8" w:fontKey="{08014A78-CABC-4EF0-12AC-5CD89AEFDE08}"/>
    <w:embedBold r:id="rId9" w:fontKey="{09014A78-CABC-4EF0-12AC-5CD89AEFDE09}"/>
  </w:font>
  <w:font w:name="PT Astra Serif">
    <w:charset w:val="01"/>
    <w:family w:val="roman"/>
    <w:pitch w:val="default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Georgia">
    <w:charset w:val="01"/>
    <w:family w:val="roman"/>
    <w:pitch w:val="default"/>
    <w:embedRegular r:id="rId14" w:fontKey="{0E014A78-CABC-4EF0-12AC-5CD89AEFDE0E}"/>
    <w:embedItalic r:id="rId15" w:fontKey="{0F014A78-CABC-4EF0-12AC-5CD89AEFDE0F}"/>
  </w:font>
  <w:font w:name="Cambria">
    <w:charset w:val="01"/>
    <w:family w:val="roman"/>
    <w:pitch w:val="default"/>
    <w:embedRegular r:id="rId16" w:fontKey="{10014A78-CABC-4EF0-12AC-5CD89AEFDE10}"/>
    <w:embedBold r:id="rId17" w:fontKey="{11014A78-CABC-4EF0-12AC-5CD89AEFDE11}"/>
  </w:font>
  <w:font w:name="Tahoma">
    <w:charset w:val="01"/>
    <w:family w:val="roman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</w:font>
  <w:font w:name="Times New Roman">
    <w:charset w:val="01"/>
    <w:family w:val="roman"/>
    <w:pitch w:val="default"/>
  </w:font>
  <w:font w:name="Cambria Math">
    <w:charset w:val="01"/>
    <w:family w:val="roman"/>
    <w:pitch w:val="default"/>
    <w:embedRegular r:id="rId21" w:fontKey="{15014A78-CABC-4EF0-12AC-5CD89AEFDE15}"/>
    <w:embedBold r:id="rId22" w:fontKey="{16014A78-CABC-4EF0-12AC-5CD89AEFDE16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180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24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396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40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12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56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f1956"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keepNext w:val="true"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Текст выноски Знак"/>
    <w:basedOn w:val="DefaultParagraphFont"/>
    <w:link w:val="BalloonText"/>
    <w:uiPriority w:val="99"/>
    <w:semiHidden/>
    <w:qFormat/>
    <w:rsid w:val="002e181c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80"/>
      <w:u w:val="single"/>
    </w:rPr>
  </w:style>
  <w:style w:type="paragraph" w:styleId="Style9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Title">
    <w:name w:val="Title"/>
    <w:basedOn w:val="Normal"/>
    <w:next w:val="Normal"/>
    <w:qFormat/>
    <w:pPr>
      <w:keepNext w:val="true"/>
      <w:spacing w:before="240" w:after="120"/>
    </w:pPr>
    <w:rPr>
      <w:rFonts w:ascii="PT Astra Serif" w:hAnsi="PT Astra Serif" w:eastAsia="PT Astra Serif" w:cs="PT Astra Serif"/>
      <w:sz w:val="28"/>
      <w:szCs w:val="28"/>
    </w:rPr>
  </w:style>
  <w:style w:type="paragraph" w:styleId="Subtitle">
    <w:name w:val="Subtitle"/>
    <w:basedOn w:val="Normal"/>
    <w:next w:val="Normal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sPlusNormal" w:customStyle="1">
    <w:name w:val="ConsPlusNormal"/>
    <w:qFormat/>
    <w:rsid w:val="00bd1103"/>
    <w:pPr>
      <w:widowControl w:val="false"/>
      <w:suppressAutoHyphens w:val="true"/>
      <w:bidi w:val="0"/>
      <w:spacing w:lineRule="auto" w:line="240" w:before="0" w:after="0"/>
      <w:jc w:val="left"/>
    </w:pPr>
    <w:rPr>
      <w:rFonts w:ascii="Cambria" w:hAnsi="Cambria" w:eastAsia="Times New Roman" w:asciiTheme="minorHAnsi" w:hAnsiTheme="minorHAnsi" w:cs="Calibri"/>
      <w:color w:val="auto"/>
      <w:kern w:val="0"/>
      <w:sz w:val="22"/>
      <w:szCs w:val="20"/>
      <w:lang w:val="ru-RU" w:eastAsia="ru-RU" w:bidi="ar-SA"/>
    </w:rPr>
  </w:style>
  <w:style w:type="paragraph" w:styleId="BalloonText">
    <w:name w:val="Balloon Text"/>
    <w:basedOn w:val="Normal"/>
    <w:link w:val="Style8"/>
    <w:uiPriority w:val="99"/>
    <w:semiHidden/>
    <w:unhideWhenUsed/>
    <w:qFormat/>
    <w:rsid w:val="002e181c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1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about:blank" TargetMode="External"/><Relationship Id="rId3" Type="http://schemas.openxmlformats.org/officeDocument/2006/relationships/hyperlink" Target="about:blank" TargetMode="External"/><Relationship Id="rId4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2cyVSr7HYAUL7JumsFHZbzjO1/w==">CgMxLjAyD2lkLm9qYjIzcDM5ZXQzbzIOaC55M3d5dnR2MXJwNGE4AHIhMWhmSFcyX3hid3lpR25fdXRHTHd0THloWllVWmttV2VU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Application>LibreOffice/7.6.7.2$Linux_X86_64 LibreOffice_project/60$Build-2</Application>
  <AppVersion>15.0000</AppVersion>
  <Pages>22</Pages>
  <Words>4749</Words>
  <Characters>34783</Characters>
  <CharactersWithSpaces>38842</CharactersWithSpaces>
  <Paragraphs>1096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2026-04-15T06:57:00Z</dcterms:created>
  <dc:creator>Азрапкина Эльмира Шагиповна</dc:creator>
  <dc:description/>
  <dc:language>ru-RU</dc:language>
  <cp:lastModifiedBy>Азрапкина Эльмира Шагиповна</cp:lastModifiedBy>
  <cp:lastPrinted>2026-04-22T08:12:00Z</cp:lastPrinted>
  <dcterms:modified xsi:type="dcterms:W3CDTF">2026-04-22T08:17:00Z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