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4"/>
        <w:ind w:right="5526"/>
        <w:jc w:val="both"/>
        <w:rPr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                                    Проект 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left="0" w:right="5670" w:firstLine="0"/>
        <w:jc w:val="both"/>
        <w:tabs>
          <w:tab w:val="left" w:pos="26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в приказ</w:t>
      </w:r>
      <w:r>
        <w:rPr>
          <w:sz w:val="28"/>
          <w:szCs w:val="28"/>
        </w:rPr>
        <w:t xml:space="preserve"> Министерства труда, занятости и социальной защиты Республики Татарстан от 13.07.2015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470</w:t>
      </w:r>
      <w:r>
        <w:rPr>
          <w:sz w:val="28"/>
          <w:szCs w:val="28"/>
        </w:rPr>
        <w:t xml:space="preserve"> «Об утверждении Админист</w:t>
      </w:r>
      <w:r>
        <w:rPr>
          <w:sz w:val="28"/>
          <w:szCs w:val="28"/>
        </w:rPr>
        <w:t xml:space="preserve">ративного регламента предоставления государственной услуги по выплате социального пособия на погребение»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4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целях совершенствования работы по предоставлению государственных услуг в сфере социальной поддержки населения п р и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а з ы в а 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8"/>
        <w:ind w:firstLine="567"/>
        <w:jc w:val="both"/>
        <w:spacing w:before="0" w:beforeAutospacing="0" w:after="0" w:afterAutospacing="0" w:line="288" w:lineRule="atLeast"/>
        <w:rPr>
          <w:strike/>
          <w:sz w:val="28"/>
          <w:szCs w:val="28"/>
        </w:rPr>
      </w:pPr>
      <w:r>
        <w:rPr>
          <w:sz w:val="28"/>
          <w:szCs w:val="28"/>
        </w:rPr>
        <w:t xml:space="preserve">Внести в приказ Министерства труда, занятости и социальной защиты Республики Татарстан от </w:t>
      </w:r>
      <w:r>
        <w:rPr>
          <w:sz w:val="28"/>
          <w:szCs w:val="28"/>
        </w:rPr>
        <w:t xml:space="preserve">13.07.2015 № 470 «Об утверждении Админист</w:t>
      </w:r>
      <w:r>
        <w:rPr>
          <w:sz w:val="28"/>
          <w:szCs w:val="28"/>
        </w:rPr>
        <w:t xml:space="preserve">ративного регламента предоставления государственной услуги по выплате социального пособия на погребение»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изменениями, внесенными приказом Министерства труда, занятости и социальной защиты Республики Татарстан от</w:t>
      </w:r>
      <w:r>
        <w:rPr>
          <w:sz w:val="28"/>
          <w:szCs w:val="28"/>
        </w:rPr>
        <w:t xml:space="preserve"> 07.06.2016 № 317, от 11.07.2016 № 393, от 08.06.2017 № 349, от 07.05.2018 № 352, от 18.09.2018 № 885, от 08.07.2019 № 532, от 14.11.2019 № 1017, от 09.07.2020 № 491, от 08.10.2020 № 708, от 18.08.2021 № 594, от 01.10.2021 № 717, от 14.11.2022 № 999, от 2</w:t>
      </w:r>
      <w:r>
        <w:rPr>
          <w:sz w:val="28"/>
          <w:szCs w:val="28"/>
        </w:rPr>
        <w:t xml:space="preserve">4.11.2023 № 912, от 06.12.2024 № 811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следующие изменения: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pStyle w:val="951"/>
        <w:ind w:left="0" w:righ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изложить в следующей редакции: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951"/>
        <w:ind w:left="0" w:righ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государственной услуги по назначению социального пособия на погребение</w:t>
      </w:r>
      <w:r>
        <w:rPr>
          <w:rFonts w:ascii="Times New Roman" w:hAnsi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951"/>
        <w:ind w:left="0" w:righ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 изложить в следующей редакции: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951"/>
        <w:ind w:left="0" w:righ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Утвердить 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государственной услуги по назначению социального пособия на погребение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регламент).»;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95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государственной услуги по выплате социального пособия на погребение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указанным </w:t>
      </w:r>
      <w:r>
        <w:rPr>
          <w:rFonts w:ascii="Times New Roman" w:hAnsi="Times New Roman" w:cs="Times New Roman"/>
          <w:sz w:val="28"/>
          <w:szCs w:val="28"/>
        </w:rPr>
        <w:t xml:space="preserve">приказом</w:t>
      </w:r>
      <w:r>
        <w:rPr>
          <w:rFonts w:ascii="Times New Roman" w:hAnsi="Times New Roman" w:cs="Times New Roman"/>
          <w:sz w:val="28"/>
          <w:szCs w:val="28"/>
        </w:rPr>
        <w:t xml:space="preserve">, изложить в новой редакции (прилагается).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1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51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40"/>
        </w:rPr>
        <w:t xml:space="preserve">Министр</w:t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</w:r>
      <w:r>
        <w:rPr>
          <w:color w:val="000000" w:themeColor="text1"/>
          <w:sz w:val="28"/>
          <w:szCs w:val="40"/>
        </w:rPr>
        <w:tab/>
        <w:t xml:space="preserve">          </w:t>
      </w:r>
      <w:r>
        <w:rPr>
          <w:color w:val="000000" w:themeColor="text1"/>
          <w:sz w:val="28"/>
          <w:szCs w:val="40"/>
        </w:rPr>
        <w:t xml:space="preserve">          Э.А. Зарипова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Утвержден приказом Министерства труда, занятости и социальной з</w:t>
      </w:r>
      <w:r>
        <w:rPr>
          <w:sz w:val="28"/>
          <w:szCs w:val="28"/>
        </w:rPr>
        <w:t xml:space="preserve">ащиты Республики Татарстан от 13.07.2015</w:t>
      </w:r>
      <w:r>
        <w:rPr>
          <w:sz w:val="28"/>
          <w:szCs w:val="28"/>
        </w:rPr>
        <w:t xml:space="preserve"> № 470</w:t>
      </w:r>
      <w:r>
        <w:rPr>
          <w:sz w:val="28"/>
          <w:szCs w:val="28"/>
        </w:rPr>
        <w:t xml:space="preserve"> (в редакции приказа Министерства труда, занятости и социальной защиты Республики Татарстан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____________ 20___ г. № _______)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1"/>
        <w:ind w:left="495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sz w:val="28"/>
          <w:szCs w:val="28"/>
        </w:rPr>
      </w:pPr>
      <w:r/>
      <w:bookmarkStart w:id="0" w:name="P26"/>
      <w:r/>
      <w:bookmarkEnd w:id="0"/>
      <w:r>
        <w:rPr>
          <w:sz w:val="28"/>
          <w:szCs w:val="28"/>
        </w:rPr>
        <w:t xml:space="preserve">Административный регламент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государственной услуги по назначению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социального пособия на погребение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  <w:outlineLvl w:val="0"/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center"/>
        <w:widowControl w:val="off"/>
        <w:rPr>
          <w:rFonts w:eastAsiaTheme="minorEastAsia"/>
          <w:sz w:val="28"/>
          <w:szCs w:val="28"/>
        </w:rPr>
        <w:outlineLvl w:val="1"/>
      </w:pPr>
      <w:r>
        <w:rPr>
          <w:rFonts w:eastAsiaTheme="minorEastAsia"/>
          <w:sz w:val="28"/>
          <w:szCs w:val="28"/>
        </w:rPr>
        <w:t xml:space="preserve">1. Общие положения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ind w:firstLine="539"/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1.1. </w:t>
      </w:r>
      <w:r>
        <w:rPr>
          <w:rFonts w:eastAsiaTheme="minorEastAsia"/>
          <w:sz w:val="28"/>
          <w:szCs w:val="28"/>
          <w:highlight w:val="none"/>
        </w:rPr>
        <w:t xml:space="preserve">Н</w:t>
      </w:r>
      <w:r>
        <w:rPr>
          <w:rFonts w:eastAsiaTheme="minorEastAsia"/>
          <w:sz w:val="28"/>
          <w:szCs w:val="28"/>
          <w:highlight w:val="none"/>
        </w:rPr>
        <w:t xml:space="preserve">астоящий Административный регламент предоставления государственной услуги по назначению социального пособия на погребение (далее - Регламент), устанавливает стандарт и порядок предоставления государственной услуги по назначению социального пособия на погре</w:t>
      </w:r>
      <w:r>
        <w:rPr>
          <w:rFonts w:eastAsiaTheme="minorEastAsia"/>
          <w:sz w:val="28"/>
          <w:szCs w:val="28"/>
          <w:highlight w:val="none"/>
        </w:rPr>
        <w:t xml:space="preserve">бение (далее - государственная услуга).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Перечень условных обозначений и сокращений </w:t>
      </w:r>
      <w:r>
        <w:rPr>
          <w:sz w:val="28"/>
          <w:szCs w:val="28"/>
          <w:highlight w:val="none"/>
        </w:rPr>
        <w:t xml:space="preserve">приведен в приложении № 1 к настоящему Регламенту.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78"/>
        <w:ind w:left="0" w:right="0" w:firstLine="567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highlight w:val="none"/>
        </w:rPr>
      </w:r>
      <w:bookmarkStart w:id="1" w:name="P60"/>
      <w:r>
        <w:rPr>
          <w:highlight w:val="none"/>
        </w:rPr>
      </w:r>
      <w:bookmarkEnd w:id="1"/>
      <w:r>
        <w:rPr>
          <w:rFonts w:eastAsiaTheme="minorEastAsia"/>
          <w:sz w:val="28"/>
          <w:szCs w:val="28"/>
          <w:highlight w:val="none"/>
        </w:rPr>
        <w:t xml:space="preserve">1.2. </w:t>
      </w:r>
      <w:r>
        <w:rPr>
          <w:sz w:val="28"/>
          <w:szCs w:val="28"/>
          <w:highlight w:val="none"/>
        </w:rPr>
        <w:t xml:space="preserve">Круг заявителей (далее - заявитель):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  <w:t xml:space="preserve">супруг(а), близкие родственники, иные родственники, законные представители умершего или иное лицо, взявшее на себя обязанность осуществить погребение умершего</w:t>
      </w:r>
      <w:r>
        <w:rPr>
          <w:rFonts w:eastAsiaTheme="minorEastAsia"/>
          <w:sz w:val="28"/>
          <w:szCs w:val="28"/>
          <w:highlight w:val="none"/>
        </w:rPr>
        <w:t xml:space="preserve">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Интересы заявителя могут представлять лица, действующие на основании доверенности, выданной в порядке, установленном законодательством (далее - представитель заявителя).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Идентификаторы категорий (признаков) заявителей приведены в приложении № 2 к настоящему Регламенту.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1.3.</w:t>
      </w:r>
      <w:r>
        <w:rPr>
          <w:rFonts w:eastAsiaTheme="minorEastAsia"/>
          <w:sz w:val="28"/>
          <w:szCs w:val="28"/>
          <w:highlight w:val="none"/>
        </w:rPr>
        <w:t xml:space="preserve"> Государственная услуга предоставляется заяви</w:t>
      </w:r>
      <w:r>
        <w:rPr>
          <w:rFonts w:eastAsiaTheme="minorEastAsia"/>
          <w:sz w:val="28"/>
          <w:szCs w:val="28"/>
          <w:highlight w:val="none"/>
        </w:rPr>
        <w:t xml:space="preserve">телю в соответствии с категориями (признаками) заявителя, сведения о которых размещаются в федеральной государственной информационной системе «Единый портал государственных и муниципальных услуг (функций)» (http://www.gosuslugi.ru/) (далее - Единый портал)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 в 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1"/>
      </w:pPr>
      <w:r>
        <w:rPr>
          <w:rFonts w:eastAsiaTheme="minorEastAsia"/>
          <w:sz w:val="28"/>
          <w:szCs w:val="28"/>
          <w:highlight w:val="none"/>
        </w:rPr>
        <w:t xml:space="preserve">2. Стандарт предоставления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2.1. Наименование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  <w:t xml:space="preserve">Назначение социального пособия на погребение (далее - пособи</w:t>
      </w:r>
      <w:r>
        <w:rPr>
          <w:rFonts w:eastAsiaTheme="minorEastAsia"/>
          <w:sz w:val="28"/>
          <w:szCs w:val="28"/>
          <w:highlight w:val="none"/>
        </w:rPr>
        <w:t xml:space="preserve">е).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  <w:t xml:space="preserve">2.2. Наименование органа,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  <w:t xml:space="preserve">предоставляющего государственную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услугу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</w:t>
      </w:r>
      <w:r>
        <w:rPr>
          <w:rFonts w:eastAsiaTheme="minorEastAsia"/>
          <w:sz w:val="28"/>
          <w:szCs w:val="28"/>
          <w:highlight w:val="none"/>
        </w:rPr>
        <w:t xml:space="preserve">2.1. </w:t>
      </w:r>
      <w:r>
        <w:rPr>
          <w:rFonts w:eastAsiaTheme="minorEastAsia"/>
          <w:sz w:val="28"/>
          <w:szCs w:val="28"/>
          <w:highlight w:val="none"/>
        </w:rPr>
        <w:t xml:space="preserve">Г</w:t>
      </w:r>
      <w:r>
        <w:rPr>
          <w:rFonts w:eastAsiaTheme="minorEastAsia"/>
          <w:sz w:val="28"/>
          <w:szCs w:val="28"/>
          <w:highlight w:val="none"/>
        </w:rPr>
        <w:t xml:space="preserve">осударственная услуга предоставляется Фондом пенсионного и социального страхования Российской Федерации (далее - Фонд) через свои территориальные органы по месту жительства (пребывания) или, в случае отсутствия подтвержденного места жител</w:t>
      </w:r>
      <w:r>
        <w:rPr>
          <w:rFonts w:eastAsiaTheme="minorEastAsia"/>
          <w:sz w:val="28"/>
          <w:szCs w:val="28"/>
          <w:highlight w:val="none"/>
        </w:rPr>
        <w:t xml:space="preserve">ьства (пребывания) - по месту фактического проживания заявителя (далее - территориальный орган Фонда).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2.3. Результат предоставления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2.3.1.</w:t>
      </w:r>
      <w:r>
        <w:rPr>
          <w:rFonts w:eastAsiaTheme="minorEastAsia"/>
          <w:sz w:val="28"/>
          <w:szCs w:val="28"/>
          <w:highlight w:val="none"/>
        </w:rPr>
        <w:t xml:space="preserve"> Результатом предоставления государственной услуги является </w:t>
      </w:r>
      <w:hyperlink w:tooltip="                                  Решение" w:anchor="P798" w:history="1">
        <w:r>
          <w:rPr>
            <w:rFonts w:eastAsiaTheme="minorEastAsia"/>
            <w:sz w:val="28"/>
            <w:szCs w:val="28"/>
            <w:highlight w:val="none"/>
          </w:rPr>
          <w:t xml:space="preserve">решение</w:t>
        </w:r>
      </w:hyperlink>
      <w:r>
        <w:rPr>
          <w:rFonts w:eastAsiaTheme="minorEastAsia"/>
          <w:sz w:val="28"/>
          <w:szCs w:val="28"/>
          <w:highlight w:val="none"/>
        </w:rPr>
        <w:t xml:space="preserve"> о назначении (об отказе в назначен</w:t>
      </w:r>
      <w:r>
        <w:rPr>
          <w:rFonts w:eastAsiaTheme="minorEastAsia"/>
          <w:sz w:val="28"/>
          <w:szCs w:val="28"/>
          <w:highlight w:val="none"/>
        </w:rPr>
        <w:t xml:space="preserve">ии) </w:t>
      </w:r>
      <w:r>
        <w:rPr>
          <w:rFonts w:eastAsiaTheme="minorEastAsia"/>
          <w:sz w:val="28"/>
          <w:szCs w:val="28"/>
          <w:highlight w:val="none"/>
        </w:rPr>
        <w:t xml:space="preserve">социального пособия на погребение по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формам согласно приложениям № 6 и № 7</w:t>
      </w:r>
      <w:r>
        <w:rPr>
          <w:rFonts w:eastAsiaTheme="minorEastAsia"/>
          <w:sz w:val="28"/>
          <w:szCs w:val="28"/>
          <w:highlight w:val="none"/>
        </w:rPr>
        <w:t xml:space="preserve"> к настояще</w:t>
      </w:r>
      <w:r>
        <w:rPr>
          <w:rFonts w:eastAsiaTheme="minorEastAsia"/>
          <w:sz w:val="28"/>
          <w:szCs w:val="28"/>
          <w:highlight w:val="none"/>
        </w:rPr>
        <w:t xml:space="preserve">му Регламенту. 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2.3.2. Формирование реестровой записи в качестве результата предоставления государственной услуги не предусмотрено.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.3.3. Результат предоставления государственной услуги по назначению пособия в соответствии с пунктом 33 Единого стандарта предоставления государственной услуги по назначению социального пособия на погребение, утвержденного постановлением Правительства Росс</w:t>
      </w:r>
      <w:r>
        <w:rPr>
          <w:sz w:val="28"/>
          <w:szCs w:val="28"/>
          <w:highlight w:val="none"/>
        </w:rPr>
        <w:t xml:space="preserve">ийской Федерации от 20 июня 2024 г. № 830 </w:t>
      </w:r>
      <w:r>
        <w:rPr>
          <w:sz w:val="28"/>
          <w:szCs w:val="28"/>
          <w:highlight w:val="none"/>
        </w:rPr>
        <w:t xml:space="preserve">«О едином стандарте предоставления государственной услуги по назначению социального пособия на погребение» </w:t>
      </w:r>
      <w:r>
        <w:rPr>
          <w:sz w:val="28"/>
          <w:szCs w:val="28"/>
          <w:highlight w:val="none"/>
        </w:rPr>
        <w:t xml:space="preserve">(далее - Единый стандарт):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направляется </w:t>
      </w:r>
      <w:r>
        <w:rPr>
          <w:sz w:val="28"/>
          <w:szCs w:val="28"/>
          <w:highlight w:val="none"/>
        </w:rPr>
        <w:t xml:space="preserve">территориальным органом Фонда </w:t>
      </w:r>
      <w:r>
        <w:rPr>
          <w:sz w:val="28"/>
          <w:szCs w:val="28"/>
          <w:highlight w:val="none"/>
        </w:rPr>
        <w:t xml:space="preserve">для отображения в личном кабинете заявителя </w:t>
      </w:r>
      <w:r>
        <w:rPr>
          <w:sz w:val="28"/>
          <w:szCs w:val="28"/>
          <w:highlight w:val="none"/>
        </w:rPr>
        <w:t xml:space="preserve">на Едином портале</w:t>
      </w:r>
      <w:r>
        <w:rPr>
          <w:sz w:val="28"/>
          <w:szCs w:val="28"/>
          <w:highlight w:val="none"/>
        </w:rPr>
        <w:t xml:space="preserve"> вне зависимости от способ</w:t>
      </w:r>
      <w:r>
        <w:rPr>
          <w:sz w:val="28"/>
          <w:szCs w:val="28"/>
          <w:highlight w:val="none"/>
        </w:rPr>
        <w:t xml:space="preserve">а обращения заявителя за предоставлением государственной услуги по назначению пособия;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может быть получен по желанию заявителя на бумажном носителе в виде распечатанного экземпляра электронного документа в территориальном органе Фонда.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</w:t>
      </w:r>
      <w:r>
        <w:rPr>
          <w:rFonts w:eastAsiaTheme="minorEastAsia"/>
          <w:sz w:val="28"/>
          <w:szCs w:val="28"/>
          <w:highlight w:val="none"/>
        </w:rPr>
        <w:t xml:space="preserve">.4. Срок предоставления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bookmarkStart w:id="2" w:name="P44"/>
      <w:r>
        <w:rPr>
          <w:sz w:val="28"/>
          <w:szCs w:val="28"/>
          <w:highlight w:val="none"/>
        </w:rPr>
      </w:r>
      <w:bookmarkEnd w:id="2"/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2.4.1. </w:t>
      </w:r>
      <w:r>
        <w:rPr>
          <w:rFonts w:eastAsiaTheme="minorEastAsia"/>
          <w:sz w:val="28"/>
          <w:szCs w:val="28"/>
          <w:highlight w:val="none"/>
        </w:rPr>
        <w:t xml:space="preserve">Максимальный срок предоставления 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госу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дарственной </w:t>
      </w:r>
      <w:r>
        <w:rPr>
          <w:sz w:val="28"/>
          <w:szCs w:val="28"/>
          <w:highlight w:val="none"/>
        </w:rPr>
        <w:t xml:space="preserve">услуги </w:t>
      </w:r>
      <w:r>
        <w:rPr>
          <w:sz w:val="28"/>
          <w:szCs w:val="28"/>
          <w:highlight w:val="none"/>
        </w:rPr>
        <w:t xml:space="preserve">для всех категорий (признаков) заявителей</w:t>
      </w:r>
      <w:r>
        <w:rPr>
          <w:sz w:val="28"/>
          <w:szCs w:val="28"/>
          <w:highlight w:val="none"/>
        </w:rPr>
        <w:t xml:space="preserve"> в случае, если заявление о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 назначении социального 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пособия на погребенье </w:t>
      </w:r>
      <w:r>
        <w:rPr>
          <w:rFonts w:eastAsiaTheme="minorEastAsia"/>
          <w:sz w:val="28"/>
          <w:szCs w:val="28"/>
          <w:highlight w:val="none"/>
        </w:rPr>
        <w:t xml:space="preserve">(далее - запрос)</w:t>
      </w:r>
      <w:r>
        <w:rPr>
          <w:sz w:val="28"/>
          <w:szCs w:val="28"/>
          <w:highlight w:val="none"/>
        </w:rPr>
        <w:t xml:space="preserve"> и документы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,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 </w:t>
      </w:r>
      <w:r>
        <w:rPr>
          <w:sz w:val="28"/>
          <w:szCs w:val="28"/>
          <w:highlight w:val="none"/>
        </w:rPr>
        <w:t xml:space="preserve">необходимые для предоставления государственной услуги, 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составляет два рабочих дня со дня реги</w:t>
      </w:r>
      <w:r>
        <w:rPr>
          <w:rFonts w:eastAsiaTheme="minorEastAsia"/>
          <w:sz w:val="28"/>
          <w:szCs w:val="28"/>
          <w:highlight w:val="none"/>
        </w:rPr>
        <w:t xml:space="preserve">страции в </w:t>
      </w:r>
      <w:r>
        <w:rPr>
          <w:rFonts w:eastAsiaTheme="minorEastAsia"/>
          <w:sz w:val="28"/>
          <w:szCs w:val="28"/>
          <w:highlight w:val="none"/>
        </w:rPr>
        <w:t xml:space="preserve">территориальном органе Фонда</w:t>
      </w:r>
      <w:r>
        <w:rPr>
          <w:rFonts w:eastAsiaTheme="minorEastAsia"/>
          <w:sz w:val="28"/>
          <w:szCs w:val="28"/>
          <w:highlight w:val="none"/>
        </w:rPr>
        <w:t xml:space="preserve"> запрос</w:t>
      </w:r>
      <w:r>
        <w:rPr>
          <w:rFonts w:eastAsiaTheme="minorEastAsia"/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  <w:t xml:space="preserve">Т</w:t>
      </w:r>
      <w:r>
        <w:rPr>
          <w:rFonts w:eastAsiaTheme="minorEastAsia"/>
          <w:sz w:val="28"/>
          <w:szCs w:val="28"/>
          <w:highlight w:val="none"/>
        </w:rPr>
        <w:t xml:space="preserve">ерриториальный орган Фонда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в соответствии с пунктом 29 Единого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 стандарта в течение одного рабочего дня со дня поступлен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ия запроса направляет запрос 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в рамках межведомственного электронного взаимодействия</w:t>
      </w:r>
      <w:r>
        <w:rPr>
          <w:rFonts w:eastAsiaTheme="minorEastAsia"/>
          <w:sz w:val="28"/>
          <w:szCs w:val="28"/>
          <w:highlight w:val="none"/>
          <w:shd w:val="clear" w:color="ffffff" w:themeColor="background1" w:fill="ffffff" w:themeFill="background1"/>
        </w:rPr>
        <w:t xml:space="preserve">,</w:t>
      </w:r>
      <w:r>
        <w:rPr>
          <w:rFonts w:eastAsiaTheme="minorEastAsia"/>
          <w:sz w:val="28"/>
          <w:szCs w:val="28"/>
          <w:highlight w:val="none"/>
        </w:rPr>
        <w:t xml:space="preserve"> сведения о государственной регистрации смерти и подтверждение права заявителя на получение пособия  в целях</w:t>
      </w:r>
      <w:r>
        <w:rPr>
          <w:rFonts w:eastAsiaTheme="minorEastAsia"/>
          <w:sz w:val="28"/>
          <w:szCs w:val="28"/>
          <w:highlight w:val="none"/>
        </w:rPr>
        <w:t xml:space="preserve"> принятия им решения о назначении и выплате пособия.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strike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Р</w:t>
      </w:r>
      <w:r>
        <w:rPr>
          <w:rFonts w:eastAsiaTheme="minorEastAsia"/>
          <w:sz w:val="28"/>
          <w:szCs w:val="28"/>
          <w:highlight w:val="none"/>
        </w:rPr>
        <w:t xml:space="preserve">ешение о назначении и выплате пособия или об отказе в его назначении принимается в течение одного рабочего дня со дня поступления в </w:t>
      </w:r>
      <w:r>
        <w:rPr>
          <w:rFonts w:eastAsiaTheme="minorEastAsia"/>
          <w:sz w:val="28"/>
          <w:szCs w:val="28"/>
          <w:highlight w:val="none"/>
        </w:rPr>
        <w:t xml:space="preserve">территориальный орган Фонда</w:t>
      </w:r>
      <w:r>
        <w:rPr>
          <w:rFonts w:eastAsiaTheme="minorEastAsia"/>
          <w:sz w:val="28"/>
          <w:szCs w:val="28"/>
          <w:highlight w:val="none"/>
        </w:rPr>
        <w:t xml:space="preserve"> запроса, сведений о государственной регистрации смерти и подтверждения Фондом права заявителя на</w:t>
      </w:r>
      <w:r>
        <w:rPr>
          <w:rFonts w:eastAsiaTheme="minorEastAsia"/>
          <w:sz w:val="28"/>
          <w:szCs w:val="28"/>
          <w:highlight w:val="none"/>
        </w:rPr>
        <w:t xml:space="preserve"> получение пособия.</w:t>
      </w:r>
      <w:r>
        <w:rPr>
          <w:strike/>
          <w:sz w:val="28"/>
          <w:szCs w:val="28"/>
          <w:highlight w:val="none"/>
        </w:rPr>
      </w:r>
      <w:r>
        <w:rPr>
          <w:strike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2.5. Размер платы, взимаемой с заявителя при предоставлении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государственной услуги, и способы ее взимания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2.6. Максимальный срок ожидания в очереди при подаче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заявителем запроса о предоставлении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и при получении результата предоставления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2.6.1. Максимальный срок ожидания в очереди при подаче запроса о предоставлении государственной услуги и при получении результата предоставления такой услуги - не более 15 минут.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2.6.2. Очередность для отдельных категорий </w:t>
      </w:r>
      <w:r>
        <w:rPr>
          <w:sz w:val="28"/>
          <w:szCs w:val="28"/>
          <w:highlight w:val="none"/>
        </w:rPr>
        <w:t xml:space="preserve">заявителей</w:t>
      </w:r>
      <w:r>
        <w:rPr>
          <w:rFonts w:eastAsiaTheme="minorEastAsia"/>
          <w:sz w:val="28"/>
          <w:szCs w:val="28"/>
          <w:highlight w:val="none"/>
        </w:rPr>
        <w:t xml:space="preserve"> не установлена.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2.7. Срок регистрации запроса заявителя о предоставлении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.7.1. </w:t>
      </w:r>
      <w:r>
        <w:rPr>
          <w:sz w:val="28"/>
          <w:szCs w:val="28"/>
          <w:highlight w:val="none"/>
        </w:rPr>
        <w:t xml:space="preserve">Регистрация запроса в </w:t>
      </w:r>
      <w:r>
        <w:rPr>
          <w:sz w:val="28"/>
          <w:szCs w:val="28"/>
          <w:highlight w:val="none"/>
        </w:rPr>
        <w:t xml:space="preserve">территориальном органе Фонда</w:t>
      </w:r>
      <w:r>
        <w:rPr>
          <w:sz w:val="28"/>
          <w:szCs w:val="28"/>
          <w:highlight w:val="none"/>
        </w:rPr>
        <w:t xml:space="preserve"> осуществляется: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не позднее одного рабочего дня со дня подачи запроса посредством личного обращения заявителя в </w:t>
      </w:r>
      <w:r>
        <w:rPr>
          <w:sz w:val="28"/>
          <w:szCs w:val="28"/>
          <w:highlight w:val="none"/>
        </w:rPr>
        <w:t xml:space="preserve">территориальный орган Фонда</w:t>
      </w:r>
      <w:r>
        <w:rPr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  <w:outlineLvl w:val="0"/>
      </w:pPr>
      <w:r>
        <w:rPr>
          <w:sz w:val="28"/>
          <w:szCs w:val="28"/>
          <w:highlight w:val="none"/>
        </w:rPr>
        <w:t xml:space="preserve">автоматически в день подачи запроса в электронной форме с использованием Единого портала.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2.8. Требования к помещениям, в которых предоставляются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государственные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pStyle w:val="951"/>
        <w:ind w:left="0" w:right="0" w:firstLine="567"/>
        <w:jc w:val="both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Информация о требованиях к помещениям, в которых предоставляется гос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ударственная услуга, размещается на официальном сайте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Ф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онда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Едином портале.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both"/>
        <w:widowControl w:val="o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2.9. Показатели доступности и качества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  <w:outlineLvl w:val="0"/>
      </w:pPr>
      <w:r>
        <w:rPr>
          <w:rFonts w:eastAsiaTheme="minorEastAsia"/>
          <w:sz w:val="28"/>
          <w:szCs w:val="28"/>
          <w:highlight w:val="none"/>
        </w:rPr>
        <w:t xml:space="preserve">Информация о показателях доступности и качества предоставления г</w:t>
      </w:r>
      <w:r>
        <w:rPr>
          <w:rFonts w:eastAsiaTheme="minorEastAsia"/>
          <w:sz w:val="28"/>
          <w:szCs w:val="28"/>
          <w:highlight w:val="none"/>
        </w:rPr>
        <w:t xml:space="preserve">осударственной услуги размещается на официальном сайте Фонда, Едином портале</w:t>
      </w:r>
      <w:r>
        <w:rPr>
          <w:color w:val="000000"/>
          <w:sz w:val="28"/>
          <w:szCs w:val="28"/>
          <w:highlight w:val="none"/>
        </w:rPr>
        <w:t xml:space="preserve">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shd w:val="nil" w:color="auto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2.10. Иные требования к предоставлению государственной </w:t>
      </w:r>
      <w:r>
        <w:rPr>
          <w:rFonts w:eastAsiaTheme="minorEastAsia"/>
          <w:sz w:val="28"/>
          <w:szCs w:val="28"/>
          <w:highlight w:val="none"/>
        </w:rPr>
        <w:t xml:space="preserve">услуги, в том числе: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форме; 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о предоставлении сведений о государственной услуге на государственных языках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Республики Татарстан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2.10.1. </w:t>
      </w:r>
      <w:r>
        <w:rPr>
          <w:rFonts w:eastAsiaTheme="minorEastAsia"/>
          <w:sz w:val="28"/>
          <w:szCs w:val="28"/>
          <w:highlight w:val="none"/>
        </w:rPr>
        <w:t xml:space="preserve">Предоставление услуги, которые являются необходимыми и обязательными для предоставления государственной услуги, не требуется.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  <w:t xml:space="preserve">2.10.2. При предоставлении государственной услуги используются: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федеральная государственная информационная система «Единая система межведомственного электронного взаимодействия»</w:t>
      </w:r>
      <w:r>
        <w:rPr>
          <w:sz w:val="28"/>
          <w:szCs w:val="28"/>
          <w:highlight w:val="none"/>
        </w:rPr>
        <w:t xml:space="preserve">;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государственная информационная система «Единая централизованная цифровая платформа в социальной сфере» (далее - Единая цифровая платформа)</w:t>
      </w:r>
      <w:r>
        <w:rPr>
          <w:sz w:val="28"/>
          <w:szCs w:val="28"/>
          <w:highlight w:val="none"/>
        </w:rPr>
        <w:t xml:space="preserve">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2.10.3. </w:t>
      </w:r>
      <w:r>
        <w:rPr>
          <w:rFonts w:eastAsiaTheme="minorEastAsia"/>
          <w:sz w:val="28"/>
          <w:szCs w:val="28"/>
          <w:highlight w:val="none"/>
        </w:rPr>
        <w:t xml:space="preserve">В</w:t>
      </w:r>
      <w:r>
        <w:rPr>
          <w:rFonts w:eastAsiaTheme="minorEastAsia"/>
          <w:sz w:val="28"/>
          <w:szCs w:val="28"/>
          <w:highlight w:val="none"/>
        </w:rPr>
        <w:t xml:space="preserve">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</w:t>
      </w:r>
      <w:r>
        <w:rPr>
          <w:rFonts w:eastAsiaTheme="minorEastAsia"/>
          <w:sz w:val="28"/>
          <w:szCs w:val="28"/>
          <w:highlight w:val="none"/>
        </w:rPr>
        <w:t xml:space="preserve">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не предусмотрена.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  <w14:ligatures w14:val="none"/>
        </w:rPr>
      </w:pPr>
      <w:r>
        <w:rPr>
          <w:rFonts w:eastAsiaTheme="minorEastAsia"/>
          <w:sz w:val="28"/>
          <w:szCs w:val="28"/>
          <w:highlight w:val="none"/>
        </w:rPr>
        <w:t xml:space="preserve">Порядок предоставления результатов государственной услуги в отношении </w:t>
      </w:r>
      <w:r>
        <w:rPr>
          <w:rFonts w:eastAsiaTheme="minorEastAsia"/>
          <w:sz w:val="28"/>
          <w:szCs w:val="28"/>
          <w:highlight w:val="none"/>
        </w:rPr>
        <w:t xml:space="preserve">несовершеннолетнего, оформленных в форме документа на бумажном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носителе, в том числе способы и сроки их предоставления законному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представителю несовершеннолетнего, не являющемуся заявителем, не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предусмотрен.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Theme="minorEastAsia"/>
          <w:sz w:val="28"/>
          <w:szCs w:val="28"/>
          <w:highlight w:val="none"/>
        </w:rPr>
        <w:t xml:space="preserve">2.10.4</w:t>
      </w:r>
      <w:r>
        <w:rPr>
          <w:rFonts w:eastAsiaTheme="minorEastAsia"/>
          <w:sz w:val="28"/>
          <w:szCs w:val="28"/>
          <w:highlight w:val="none"/>
        </w:rPr>
        <w:t xml:space="preserve">. </w:t>
      </w:r>
      <w:r>
        <w:rPr>
          <w:rFonts w:eastAsiaTheme="minorEastAsia"/>
          <w:sz w:val="28"/>
          <w:szCs w:val="28"/>
          <w:highlight w:val="none"/>
        </w:rPr>
        <w:t xml:space="preserve">Предоставление государственной услуги</w:t>
      </w:r>
      <w:r>
        <w:rPr>
          <w:rFonts w:eastAsiaTheme="minorEastAsia"/>
          <w:sz w:val="28"/>
          <w:szCs w:val="28"/>
          <w:highlight w:val="none"/>
        </w:rPr>
        <w:t xml:space="preserve">, включая подачу запроса о назначении пособия или получении выписки о выборе получения услуг, предоставляемых согласно гарантированному перечню услуг по погребению на предоставление государственной услуги,</w:t>
      </w:r>
      <w:r>
        <w:rPr>
          <w:rFonts w:eastAsiaTheme="minorEastAsia"/>
          <w:sz w:val="28"/>
          <w:szCs w:val="28"/>
          <w:highlight w:val="none"/>
        </w:rPr>
        <w:t xml:space="preserve"> в государственном бюджетном учреждении «Многофункциональный центр пр</w:t>
      </w:r>
      <w:r>
        <w:rPr>
          <w:rFonts w:eastAsiaTheme="minorEastAsia"/>
          <w:sz w:val="28"/>
          <w:szCs w:val="28"/>
          <w:highlight w:val="none"/>
        </w:rPr>
        <w:t xml:space="preserve">едоставления государственных и муниципальных услуг в Республике Татарстан» не осуществляется.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2.10.5</w:t>
      </w:r>
      <w:r>
        <w:rPr>
          <w:rFonts w:eastAsiaTheme="minorEastAsia"/>
          <w:sz w:val="28"/>
          <w:szCs w:val="28"/>
          <w:highlight w:val="none"/>
        </w:rPr>
        <w:t xml:space="preserve">. При предоставлении государственной услуги в электронной форме заявитель вправе: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а) </w:t>
      </w:r>
      <w:r>
        <w:rPr>
          <w:rFonts w:eastAsiaTheme="minorEastAsia"/>
          <w:sz w:val="28"/>
          <w:szCs w:val="28"/>
          <w:highlight w:val="none"/>
        </w:rPr>
        <w:t xml:space="preserve">получить информацию о порядке и сроках предоставления государственной услуги, размещенную на Едином портале</w:t>
      </w:r>
      <w:r>
        <w:rPr>
          <w:rFonts w:eastAsiaTheme="minorEastAsia"/>
          <w:sz w:val="28"/>
          <w:szCs w:val="28"/>
          <w:highlight w:val="none"/>
        </w:rPr>
        <w:t xml:space="preserve">;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54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б)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одать запрос в </w:t>
      </w:r>
      <w:r>
        <w:rPr>
          <w:sz w:val="28"/>
          <w:szCs w:val="28"/>
          <w:highlight w:val="none"/>
        </w:rPr>
        <w:t xml:space="preserve">территориальный орган Фонда</w:t>
      </w:r>
      <w:r>
        <w:rPr>
          <w:sz w:val="28"/>
          <w:szCs w:val="28"/>
          <w:highlight w:val="none"/>
        </w:rPr>
        <w:t xml:space="preserve"> о предоставлении государственной услуги и иные документы, необходимые для предоставления государственной услуги, в том числе документы и информацию, электронные образы которых ранее были заверены в соответствии с пунктом 7</w:t>
      </w:r>
      <w:r>
        <w:rPr>
          <w:sz w:val="28"/>
          <w:szCs w:val="28"/>
          <w:highlight w:val="none"/>
          <w:vertAlign w:val="superscript"/>
        </w:rPr>
        <w:t xml:space="preserve">2</w:t>
      </w:r>
      <w:r>
        <w:rPr>
          <w:sz w:val="28"/>
          <w:szCs w:val="28"/>
          <w:highlight w:val="none"/>
        </w:rPr>
        <w:t xml:space="preserve"> части 1 </w:t>
      </w:r>
      <w:r>
        <w:rPr>
          <w:sz w:val="28"/>
          <w:szCs w:val="28"/>
          <w:highlight w:val="none"/>
        </w:rPr>
        <w:t xml:space="preserve">статьи 16 Федерального закона от 27 июля 2010 года № 210-ФЗ «Об организации предоставления государственных и муниципальных услуг» (далее - Федеральный закон № 210-ФЗ), с использованием Единого портала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в) получить сведения о ходе выполнения запроса, </w:t>
      </w:r>
      <w:r>
        <w:rPr>
          <w:rFonts w:eastAsiaTheme="minorEastAsia"/>
          <w:sz w:val="28"/>
          <w:szCs w:val="28"/>
          <w:highlight w:val="none"/>
        </w:rPr>
        <w:t xml:space="preserve">поданного в электронной форме с использованием Единого портала</w:t>
      </w:r>
      <w:r>
        <w:rPr>
          <w:rFonts w:eastAsiaTheme="minorEastAsia"/>
          <w:sz w:val="28"/>
          <w:szCs w:val="28"/>
          <w:highlight w:val="none"/>
        </w:rPr>
        <w:t xml:space="preserve">;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pStyle w:val="962"/>
        <w:ind w:left="0" w:right="0" w:firstLine="567"/>
        <w:jc w:val="both"/>
        <w:rPr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г) </w:t>
      </w:r>
      <w:bookmarkStart w:id="3" w:name="_GoBack"/>
      <w:r>
        <w:rPr>
          <w:rFonts w:eastAsiaTheme="minorEastAsia"/>
          <w:sz w:val="28"/>
          <w:szCs w:val="28"/>
          <w:highlight w:val="none"/>
        </w:rPr>
        <w:t xml:space="preserve">осуществить оценку качества предоставления государственной услуги посредством Едино</w:t>
      </w:r>
      <w:r>
        <w:rPr>
          <w:rFonts w:eastAsiaTheme="minorEastAsia"/>
          <w:sz w:val="28"/>
          <w:szCs w:val="28"/>
          <w:highlight w:val="none"/>
        </w:rPr>
        <w:t xml:space="preserve">го портала</w:t>
      </w:r>
      <w:r>
        <w:rPr>
          <w:rFonts w:eastAsiaTheme="minorEastAsia"/>
          <w:sz w:val="28"/>
          <w:szCs w:val="28"/>
          <w:highlight w:val="none"/>
        </w:rPr>
        <w:t xml:space="preserve">;</w:t>
      </w:r>
      <w:bookmarkEnd w:id="3"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д) получить результат предоставления государственной услуги в форме электронного документа;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е) </w:t>
      </w:r>
      <w:r>
        <w:rPr>
          <w:rFonts w:eastAsiaTheme="minorEastAsia"/>
          <w:sz w:val="28"/>
          <w:szCs w:val="28"/>
          <w:highlight w:val="none"/>
        </w:rPr>
        <w:t xml:space="preserve">подать жалобу на решение и действие (бездействие) должностных лиц, государственных служащих посредством Единого портала, </w:t>
      </w:r>
      <w:r>
        <w:rPr>
          <w:rFonts w:eastAsiaTheme="minorEastAsia"/>
          <w:sz w:val="28"/>
          <w:szCs w:val="28"/>
          <w:highlight w:val="none"/>
        </w:rPr>
        <w:t xml:space="preserve">обе</w:t>
      </w:r>
      <w:r>
        <w:rPr>
          <w:rFonts w:eastAsiaTheme="minorEastAsia"/>
          <w:sz w:val="28"/>
          <w:szCs w:val="28"/>
          <w:highlight w:val="none"/>
        </w:rPr>
        <w:t xml:space="preserve">спечивающей процесс досудебного (внесудебного) обжалования </w:t>
      </w:r>
      <w:r>
        <w:rPr>
          <w:rFonts w:eastAsiaTheme="minorEastAsia"/>
          <w:sz w:val="28"/>
          <w:szCs w:val="28"/>
          <w:highlight w:val="none"/>
        </w:rPr>
        <w:t xml:space="preserve">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</w:t>
      </w:r>
      <w:r>
        <w:rPr>
          <w:rFonts w:eastAsiaTheme="minorEastAsia"/>
          <w:sz w:val="28"/>
          <w:szCs w:val="28"/>
          <w:highlight w:val="none"/>
        </w:rPr>
        <w:t xml:space="preserve">ми.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2.10.6</w:t>
      </w:r>
      <w:r>
        <w:rPr>
          <w:rFonts w:eastAsiaTheme="minorEastAsia"/>
          <w:sz w:val="28"/>
          <w:szCs w:val="28"/>
          <w:highlight w:val="none"/>
        </w:rPr>
        <w:t xml:space="preserve">. </w:t>
      </w:r>
      <w:r>
        <w:rPr>
          <w:rFonts w:eastAsiaTheme="minorEastAsia"/>
          <w:sz w:val="28"/>
          <w:szCs w:val="28"/>
          <w:highlight w:val="none"/>
        </w:rPr>
        <w:t xml:space="preserve">Ф</w:t>
      </w:r>
      <w:r>
        <w:rPr>
          <w:rFonts w:eastAsiaTheme="minorEastAsia"/>
          <w:sz w:val="28"/>
          <w:szCs w:val="28"/>
          <w:highlight w:val="none"/>
        </w:rPr>
        <w:t xml:space="preserve">ормирование запроса осуществляется посредством заполнения электронной формы запроса на Едином портале без необходимости дополнительной подачи запроса в как</w:t>
      </w:r>
      <w:r>
        <w:rPr>
          <w:rFonts w:eastAsiaTheme="minorEastAsia"/>
          <w:sz w:val="28"/>
          <w:szCs w:val="28"/>
          <w:highlight w:val="none"/>
        </w:rPr>
        <w:t xml:space="preserve">о</w:t>
      </w:r>
      <w:r>
        <w:rPr>
          <w:rFonts w:eastAsiaTheme="minorEastAsia"/>
          <w:sz w:val="28"/>
          <w:szCs w:val="28"/>
          <w:highlight w:val="none"/>
        </w:rPr>
        <w:t xml:space="preserve">й-либо иной форме. В этом случае заявитель авторизуется на Едином портале посредством подтвержденной учетной записи в Единой системе идентификации и аут</w:t>
      </w:r>
      <w:r>
        <w:rPr>
          <w:rFonts w:eastAsiaTheme="minorEastAsia"/>
          <w:sz w:val="28"/>
          <w:szCs w:val="28"/>
          <w:highlight w:val="none"/>
        </w:rPr>
        <w:t xml:space="preserve">е</w:t>
      </w:r>
      <w:r>
        <w:rPr>
          <w:rFonts w:eastAsiaTheme="minorEastAsia"/>
          <w:sz w:val="28"/>
          <w:szCs w:val="28"/>
          <w:highlight w:val="none"/>
        </w:rPr>
        <w:t xml:space="preserve">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услуг в электронной форме, заполняет запрос о предоставлении государственной усл</w:t>
      </w:r>
      <w:r>
        <w:rPr>
          <w:rFonts w:eastAsiaTheme="minorEastAsia"/>
          <w:sz w:val="28"/>
          <w:szCs w:val="28"/>
          <w:highlight w:val="none"/>
        </w:rPr>
        <w:t xml:space="preserve">уги с использованием интерактивной формы в электронном виде.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  <w:t xml:space="preserve">С</w:t>
      </w:r>
      <w:r>
        <w:rPr>
          <w:rFonts w:eastAsiaTheme="minorEastAsia"/>
          <w:sz w:val="28"/>
          <w:szCs w:val="28"/>
          <w:highlight w:val="none"/>
        </w:rPr>
        <w:t xml:space="preserve">ведения о ходе предоставления государственной услуги по назначению пособия, результат предоставления государственной услуги по назначению пособия, а также уведомление о необходимости обращения за получением пособия в отделение почтовой связи (в случае выбо</w:t>
      </w:r>
      <w:r>
        <w:rPr>
          <w:rFonts w:eastAsiaTheme="minorEastAsia"/>
          <w:sz w:val="28"/>
          <w:szCs w:val="28"/>
          <w:highlight w:val="none"/>
        </w:rPr>
        <w:t xml:space="preserve">ра заявителем соответствующего способа получения пособия) могут быть получены по желанию заявителя также на бумажном носителе в виде распечатанного экземпляра электронного документа в </w:t>
      </w:r>
      <w:r>
        <w:rPr>
          <w:rFonts w:eastAsiaTheme="minorEastAsia"/>
          <w:sz w:val="28"/>
          <w:szCs w:val="28"/>
          <w:highlight w:val="none"/>
        </w:rPr>
        <w:t xml:space="preserve">территориальном органе Фонда</w:t>
      </w:r>
      <w:r>
        <w:rPr>
          <w:rFonts w:eastAsiaTheme="minorEastAsia"/>
          <w:sz w:val="28"/>
          <w:szCs w:val="28"/>
          <w:highlight w:val="none"/>
        </w:rPr>
        <w:t xml:space="preserve">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2.10.7. </w:t>
      </w:r>
      <w:r>
        <w:rPr>
          <w:sz w:val="28"/>
          <w:szCs w:val="28"/>
          <w:highlight w:val="none"/>
        </w:rPr>
        <w:t xml:space="preserve">Предварительная запись</w:t>
      </w:r>
      <w:r>
        <w:rPr>
          <w:rFonts w:eastAsiaTheme="minorEastAsia"/>
          <w:sz w:val="28"/>
          <w:szCs w:val="28"/>
          <w:highlight w:val="none"/>
        </w:rPr>
        <w:t xml:space="preserve"> заявителей на прием в территориальный орган Фонда (далее – предварительная запись) осуществляется посредством Единого портала, телефонной связи по номеру телефона территориального органа Фонда.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Заявителю предоставляется возможность </w:t>
      </w:r>
      <w:r>
        <w:rPr>
          <w:rFonts w:eastAsiaTheme="minorEastAsia"/>
          <w:sz w:val="28"/>
          <w:szCs w:val="28"/>
          <w:highlight w:val="none"/>
        </w:rPr>
        <w:t xml:space="preserve">предварительной записи</w:t>
      </w:r>
      <w:r>
        <w:rPr>
          <w:rFonts w:eastAsiaTheme="minorEastAsia"/>
          <w:sz w:val="28"/>
          <w:szCs w:val="28"/>
          <w:highlight w:val="none"/>
        </w:rPr>
        <w:t xml:space="preserve"> на любые свободные для приема дату и время в пределах установленного в территориальном органе Фонда графика приема.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Для осуществления предварительной записи посредством Единого портала заявителю необходимо указать запрашиваемые системой данные, в том числе: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фамилию, имя, отчество (при наличии);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номер телефона;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адрес электронной почты (по желанию);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желаемую дату и время приема.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П</w:t>
      </w:r>
      <w:r>
        <w:rPr>
          <w:rFonts w:eastAsiaTheme="minorEastAsia"/>
          <w:sz w:val="28"/>
          <w:szCs w:val="28"/>
          <w:highlight w:val="none"/>
        </w:rPr>
        <w:t xml:space="preserve">ри осуществлении предварительной записи заявителю обеспечивается возможность распечатать талон-подтверждение. В случае, если заявителем указан адрес электронной почты, на указанный адрес также направляется информация о подтверждении предварительной записи </w:t>
      </w:r>
      <w:r>
        <w:rPr>
          <w:rFonts w:eastAsiaTheme="minorEastAsia"/>
          <w:sz w:val="28"/>
          <w:szCs w:val="28"/>
          <w:highlight w:val="none"/>
        </w:rPr>
        <w:t xml:space="preserve">с указанием даты, времени и места приема.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Заявитель в любое время вправе отказаться от предварительной записи.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З</w:t>
      </w:r>
      <w:r>
        <w:rPr>
          <w:rFonts w:eastAsiaTheme="minorEastAsia"/>
          <w:sz w:val="28"/>
          <w:szCs w:val="28"/>
          <w:highlight w:val="none"/>
        </w:rPr>
        <w:t xml:space="preserve">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</w:t>
      </w:r>
      <w:r>
        <w:rPr>
          <w:rFonts w:eastAsiaTheme="minorEastAsia"/>
          <w:sz w:val="28"/>
          <w:szCs w:val="28"/>
          <w:highlight w:val="none"/>
        </w:rPr>
        <w:t xml:space="preserve"> длительности временного интервала, который необходимо забронировать для приема.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Отсутствие предварительной записи не препятствует приему заявителя в порядке очередности.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2.10.8. При подаче запроса через Единый портал (уведомление о принятом решении о назначении (об отказе в назначении) пособия направляется в электронной форме.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2.10.9</w:t>
      </w:r>
      <w:r>
        <w:rPr>
          <w:rFonts w:eastAsiaTheme="minorEastAsia"/>
          <w:sz w:val="28"/>
          <w:szCs w:val="28"/>
          <w:highlight w:val="none"/>
        </w:rPr>
        <w:t xml:space="preserve">. </w:t>
      </w:r>
      <w:r>
        <w:rPr>
          <w:rFonts w:eastAsiaTheme="minorEastAsia"/>
          <w:sz w:val="28"/>
          <w:szCs w:val="28"/>
          <w:highlight w:val="none"/>
        </w:rPr>
        <w:t xml:space="preserve">Информация о порядке предоставления государственной услуги размещается на государственных языках Республики Татарстан.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П</w:t>
      </w:r>
      <w:r>
        <w:rPr>
          <w:rFonts w:eastAsiaTheme="minorEastAsia"/>
          <w:sz w:val="28"/>
          <w:szCs w:val="28"/>
          <w:highlight w:val="none"/>
        </w:rPr>
        <w:t xml:space="preserve">о письменному обращению сотрудник </w:t>
      </w:r>
      <w:r>
        <w:rPr>
          <w:rFonts w:eastAsiaTheme="minorEastAsia"/>
          <w:sz w:val="28"/>
          <w:szCs w:val="28"/>
          <w:highlight w:val="none"/>
        </w:rPr>
        <w:t xml:space="preserve">территориального органа Фонда</w:t>
      </w:r>
      <w:r>
        <w:rPr>
          <w:rFonts w:eastAsiaTheme="minorEastAsia"/>
          <w:sz w:val="28"/>
          <w:szCs w:val="28"/>
          <w:highlight w:val="none"/>
        </w:rPr>
        <w:t xml:space="preserve">, ответственный за предоставление государственной услуги, подробно в письменной форме разъясняет заявителю порядок предоставления государственной услуги и вопросы, указанные </w:t>
      </w:r>
      <w:r>
        <w:rPr>
          <w:rFonts w:eastAsiaTheme="minorEastAsia"/>
          <w:sz w:val="28"/>
          <w:szCs w:val="28"/>
          <w:highlight w:val="none"/>
        </w:rPr>
        <w:t xml:space="preserve">в настоящем Регламенте, и в течение срока, установленного законодательством, направляет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Татарстан.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  <w:t xml:space="preserve">2.11. Исчерпывающий перечень документов, необходимых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для предоставления государственной услуги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-1" w:firstLine="567"/>
        <w:jc w:val="both"/>
        <w:widowControl w:val="off"/>
        <w:rPr>
          <w:highlight w:val="none"/>
        </w:rPr>
      </w:pPr>
      <w:r>
        <w:rPr>
          <w:highlight w:val="none"/>
        </w:rPr>
      </w:r>
      <w:bookmarkStart w:id="4" w:name="P145"/>
      <w:r>
        <w:rPr>
          <w:highlight w:val="none"/>
        </w:rPr>
      </w:r>
      <w:bookmarkEnd w:id="4"/>
      <w:r>
        <w:rPr>
          <w:sz w:val="28"/>
          <w:szCs w:val="28"/>
          <w:highlight w:val="none"/>
        </w:rPr>
        <w:t xml:space="preserve">2.11.1. </w:t>
      </w:r>
      <w:r>
        <w:rPr>
          <w:sz w:val="28"/>
          <w:szCs w:val="28"/>
          <w:highlight w:val="none"/>
        </w:rPr>
        <w:t xml:space="preserve">В приложении № 3 к настоящему Регламенту приведен исчерпывающий перечень документов, необходимых для предоставления государственной услуги, с разделением на: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-1" w:firstLine="567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а) документы, которые заявитель представляет самостоятельно;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-1" w:firstLine="567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-1" w:firstLine="567"/>
        <w:jc w:val="both"/>
        <w:widowControl w:val="off"/>
        <w:rPr>
          <w:rFonts w:eastAsiaTheme="minorEastAsia"/>
          <w:highlight w:val="none"/>
        </w:rPr>
      </w:pPr>
      <w:r>
        <w:rPr>
          <w:sz w:val="28"/>
          <w:szCs w:val="28"/>
          <w:highlight w:val="none"/>
        </w:rPr>
        <w:t xml:space="preserve">2.11.2. Форма запроса приведена в приложении </w:t>
      </w:r>
      <w:r>
        <w:rPr>
          <w:sz w:val="28"/>
          <w:szCs w:val="28"/>
          <w:highlight w:val="none"/>
        </w:rPr>
        <w:t xml:space="preserve">№ 5 к настоящему Регламенту. </w:t>
      </w:r>
      <w:r>
        <w:rPr>
          <w:rFonts w:eastAsiaTheme="minorEastAsia"/>
          <w:highlight w:val="none"/>
        </w:rPr>
      </w:r>
      <w:r>
        <w:rPr>
          <w:rFonts w:eastAsiaTheme="minorEastAsia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57" w:firstLine="709"/>
        <w:jc w:val="center"/>
        <w:widowControl w:val="off"/>
        <w:rPr>
          <w:bCs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2.12.</w:t>
      </w:r>
      <w:r>
        <w:rPr>
          <w:rFonts w:eastAsiaTheme="minorEastAsia"/>
          <w:b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И</w:t>
      </w:r>
      <w:r>
        <w:rPr>
          <w:bCs/>
          <w:sz w:val="28"/>
          <w:szCs w:val="28"/>
          <w:highlight w:val="none"/>
        </w:rPr>
        <w:t xml:space="preserve">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</w:t>
      </w:r>
      <w:r>
        <w:rPr>
          <w:bCs/>
          <w:sz w:val="28"/>
          <w:szCs w:val="28"/>
          <w:highlight w:val="none"/>
        </w:rPr>
        <w:t xml:space="preserve">слуги или для отказа в предоставлении государственной услуги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right="57" w:firstLine="709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57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2.12.1. </w:t>
      </w:r>
      <w:r>
        <w:rPr>
          <w:rFonts w:eastAsiaTheme="minorEastAsia"/>
          <w:bCs/>
          <w:sz w:val="28"/>
          <w:szCs w:val="28"/>
          <w:highlight w:val="none"/>
        </w:rPr>
        <w:t xml:space="preserve">Основаниями для отказа в приеме запроса о предоставлении государственной услуги и документов, необходимых для предоставления </w:t>
      </w:r>
      <w:r>
        <w:rPr>
          <w:rFonts w:eastAsiaTheme="minorEastAsia"/>
          <w:bCs/>
          <w:sz w:val="28"/>
          <w:szCs w:val="28"/>
          <w:highlight w:val="none"/>
        </w:rPr>
        <w:t xml:space="preserve">государственной услуги, являются: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57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1) </w:t>
      </w:r>
      <w:r>
        <w:rPr>
          <w:bCs/>
          <w:sz w:val="28"/>
          <w:szCs w:val="28"/>
          <w:highlight w:val="none"/>
        </w:rPr>
        <w:t xml:space="preserve">непредставление (представление не в полном объеме) документов, которые заявитель представляет самостоятельно, указанных в пунктах 1.1 - 1.8 приложения № 3 к настоящему Регламенту</w:t>
      </w:r>
      <w:r>
        <w:rPr>
          <w:bCs/>
          <w:sz w:val="28"/>
          <w:szCs w:val="28"/>
          <w:highlight w:val="none"/>
        </w:rPr>
        <w:t xml:space="preserve">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57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2) </w:t>
      </w:r>
      <w:r>
        <w:rPr>
          <w:bCs/>
          <w:sz w:val="28"/>
          <w:szCs w:val="28"/>
          <w:highlight w:val="none"/>
        </w:rPr>
        <w:t xml:space="preserve">обращение лица, не соответствующего требованиям, установленным пунктом 1.2 настоящего Регламента;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bCs/>
          <w:strike w:val="0"/>
          <w:sz w:val="28"/>
          <w:szCs w:val="28"/>
          <w:highlight w:val="none"/>
        </w:rPr>
      </w:pPr>
      <w:r>
        <w:rPr>
          <w:strike w:val="0"/>
          <w:sz w:val="28"/>
          <w:szCs w:val="28"/>
          <w:highlight w:val="none"/>
        </w:rPr>
        <w:t xml:space="preserve">3</w:t>
      </w:r>
      <w:r>
        <w:rPr>
          <w:strike w:val="0"/>
          <w:sz w:val="28"/>
          <w:szCs w:val="28"/>
          <w:highlight w:val="none"/>
        </w:rPr>
        <w:t xml:space="preserve">) </w:t>
      </w:r>
      <w:r>
        <w:rPr>
          <w:bCs/>
          <w:strike w:val="0"/>
          <w:sz w:val="28"/>
          <w:szCs w:val="28"/>
          <w:highlight w:val="none"/>
        </w:rPr>
        <w:t xml:space="preserve">наличие в документах подчисток, приписок, зачеркнутых слов и исправлений, не заверенных в соответствии с законодательством Российской Федерации;</w:t>
      </w:r>
      <w:r>
        <w:rPr>
          <w:bCs/>
          <w:strike w:val="0"/>
          <w:sz w:val="28"/>
          <w:szCs w:val="28"/>
          <w:highlight w:val="none"/>
        </w:rPr>
      </w:r>
      <w:r>
        <w:rPr>
          <w:bCs/>
          <w:strike w:val="0"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4) </w:t>
      </w:r>
      <w:r>
        <w:rPr>
          <w:sz w:val="28"/>
          <w:szCs w:val="28"/>
          <w:highlight w:val="none"/>
        </w:rPr>
        <w:t xml:space="preserve">представление документов (сведений) не соответствующих по форме или содержанию требованиям законодательства Российской Федерации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) запрос </w:t>
      </w:r>
      <w:r>
        <w:rPr>
          <w:sz w:val="28"/>
          <w:szCs w:val="28"/>
          <w:highlight w:val="none"/>
        </w:rPr>
        <w:t xml:space="preserve">подан в электронной форме с нарушением установленных требований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) </w:t>
      </w:r>
      <w:r>
        <w:rPr>
          <w:sz w:val="28"/>
          <w:szCs w:val="28"/>
          <w:highlight w:val="none"/>
        </w:rPr>
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) </w:t>
      </w:r>
      <w:r>
        <w:rPr>
          <w:sz w:val="28"/>
          <w:szCs w:val="28"/>
          <w:highlight w:val="none"/>
        </w:rPr>
        <w:t xml:space="preserve">неполное (некорректное) заполнение полей в форме запроса, в том числе в интерактивной форме запроса на Едином портале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567"/>
        <w:jc w:val="both"/>
        <w:widowControl w:val="o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) </w:t>
      </w:r>
      <w:r>
        <w:rPr>
          <w:sz w:val="28"/>
          <w:szCs w:val="28"/>
          <w:highlight w:val="none"/>
        </w:rPr>
        <w:t xml:space="preserve">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</w:t>
      </w:r>
      <w:r>
        <w:rPr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2.12.2. </w:t>
      </w:r>
      <w:r>
        <w:rPr>
          <w:bCs/>
          <w:sz w:val="28"/>
          <w:szCs w:val="28"/>
          <w:highlight w:val="none"/>
        </w:rPr>
        <w:t xml:space="preserve">Основания для приостановления предоставления государственной услуги не предусмотрены.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2.12.3. </w:t>
      </w:r>
      <w:r>
        <w:rPr>
          <w:bCs/>
          <w:sz w:val="28"/>
          <w:szCs w:val="28"/>
          <w:highlight w:val="none"/>
        </w:rPr>
        <w:t xml:space="preserve">Основанием для отказа в предоставлении государственной услуги являются: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а) установление в отношении умершего факта назначения пособия или предоставления услуг согласно гарантированному перечню услуг по погребению;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б) наличие недостоверных данных в запросе;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в) непредставление заявителем документа о смерти, выданного компетентным органом иностранного государства, если в запросе указано об обращении за выплатой пособия на погребение лица, умершего на территории иностранного государства, смерть которого зарегис</w:t>
      </w:r>
      <w:r>
        <w:rPr>
          <w:bCs/>
          <w:sz w:val="28"/>
          <w:szCs w:val="28"/>
          <w:highlight w:val="none"/>
        </w:rPr>
        <w:t xml:space="preserve">трирована компетентным органом иностранного государства;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г) обращение с запросом по истечении шести месяцев с даты государственной регистрации смерти.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В случае отказа в предоставлении государственной услуги по назначению пособия по основаниям, предусмотренным подпунктами «б» и «в» настоящего пункта, гражданин вправе повторно подать запрос.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1"/>
        <w:ind w:firstLine="539"/>
        <w:jc w:val="both"/>
        <w:rPr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.12.4. В случае отказа в предоставлении государственной услуги </w:t>
      </w:r>
      <w:r>
        <w:rPr>
          <w:rFonts w:ascii="Times New Roman" w:hAnsi="Times New Roman"/>
          <w:sz w:val="28"/>
          <w:szCs w:val="28"/>
          <w:highlight w:val="none"/>
        </w:rPr>
        <w:t xml:space="preserve">территориальный орган Фонда</w:t>
      </w:r>
      <w:r>
        <w:rPr>
          <w:rFonts w:ascii="Times New Roman" w:hAnsi="Times New Roman"/>
          <w:sz w:val="28"/>
          <w:szCs w:val="28"/>
          <w:highlight w:val="none"/>
        </w:rPr>
        <w:t xml:space="preserve">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</w:t>
      </w:r>
      <w:r>
        <w:rPr>
          <w:rFonts w:ascii="Times New Roman" w:hAnsi="Times New Roman"/>
          <w:sz w:val="28"/>
          <w:szCs w:val="28"/>
          <w:highlight w:val="none"/>
        </w:rPr>
        <w:t xml:space="preserve">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  <w:r>
        <w:rPr>
          <w:highlight w:val="none"/>
        </w:rPr>
      </w:r>
      <w:r>
        <w:rPr>
          <w:highlight w:val="none"/>
        </w:rPr>
      </w:r>
    </w:p>
    <w:p>
      <w:pPr>
        <w:pStyle w:val="951"/>
        <w:ind w:firstLine="53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.12.5. Исчерпывающий перечень оснований для отказа в приеме запроса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</w:t>
      </w:r>
      <w:r>
        <w:rPr>
          <w:rFonts w:ascii="Times New Roman" w:hAnsi="Times New Roman"/>
          <w:sz w:val="28"/>
          <w:szCs w:val="28"/>
          <w:highlight w:val="none"/>
        </w:rPr>
        <w:t xml:space="preserve">венной услуги или для отказа в предоставлении государственной услуги с учетом категорий (признаков) заявителя приведен в приложении № 4 к настоящему Регламенту.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951"/>
        <w:ind w:firstLine="539"/>
        <w:jc w:val="both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  <w:t xml:space="preserve">3. Состав, последовательность и сроки выполнения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  <w:t xml:space="preserve">административных процедур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none"/>
        </w:rPr>
        <w:outlineLvl w:val="2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  <w:t xml:space="preserve">3.1. </w:t>
      </w:r>
      <w:r>
        <w:rPr>
          <w:rFonts w:ascii="Times New Roman" w:hAnsi="Times New Roman"/>
          <w:sz w:val="28"/>
          <w:szCs w:val="28"/>
          <w:highlight w:val="none"/>
        </w:rPr>
        <w:t xml:space="preserve">Осуществление административно</w:t>
      </w:r>
      <w:r>
        <w:rPr>
          <w:rFonts w:ascii="Times New Roman" w:hAnsi="Times New Roman"/>
          <w:sz w:val="28"/>
          <w:szCs w:val="28"/>
          <w:highlight w:val="none"/>
        </w:rPr>
        <w:t xml:space="preserve">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</w:t>
      </w:r>
      <w:r>
        <w:rPr>
          <w:rFonts w:ascii="Times New Roman" w:hAnsi="Times New Roman"/>
          <w:sz w:val="28"/>
          <w:szCs w:val="28"/>
          <w:highlight w:val="none"/>
        </w:rPr>
        <w:t xml:space="preserve">чением требований, которые проверяются в рамках процедуры принятия решения о предоставлении (отказе в предоставлении) государственной услуги, административной процедуры, предполагающей осуществляемое после принятия решения о предоставлении государственной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услуги распределение в отношении заявителя ограниченного ресурса (в </w:t>
      </w:r>
      <w:r>
        <w:rPr>
          <w:rFonts w:ascii="Times New Roman" w:hAnsi="Times New Roman"/>
          <w:sz w:val="28"/>
          <w:szCs w:val="28"/>
          <w:highlight w:val="none"/>
        </w:rPr>
        <w:t xml:space="preserve">том числе земельных участков, радиочастот, квот), административной процедуры получения дополнительных сведений от заявителя, административной процедуры приостановления предоставления государственной услуги, повторение которой в рамках предоставления одной </w:t>
      </w:r>
      <w:r>
        <w:rPr>
          <w:rFonts w:ascii="Times New Roman" w:hAnsi="Times New Roman"/>
          <w:sz w:val="28"/>
          <w:szCs w:val="28"/>
          <w:highlight w:val="none"/>
        </w:rPr>
        <w:t xml:space="preserve">государственной услуги допускается два и более раза, не предусмотрено. 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  <w:t xml:space="preserve">3.2.</w:t>
      </w:r>
      <w:r>
        <w:rPr>
          <w:rFonts w:ascii="Times New Roman" w:hAnsi="Times New Roman"/>
          <w:sz w:val="28"/>
          <w:szCs w:val="28"/>
          <w:highlight w:val="none"/>
        </w:rPr>
        <w:t xml:space="preserve"> Перечень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осуществляемых при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предоставлении государственной услуги административных процедур одним из перечисленных способов: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1) профилирование заявителя;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2) прием запроса, документов и (или) информации, необходимых для предоставления государственной услуги;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3) межведомственное информационное взаимодействие;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4) принятие решения о предоставлении (об отказе в предоставлении) государственной услуги;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5) предоставление результата государственной услуги.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left="0" w:right="0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3.3. Государственная услуга в упреждающем (</w:t>
      </w:r>
      <w:r>
        <w:rPr>
          <w:rFonts w:ascii="Times New Roman" w:hAnsi="Times New Roman"/>
          <w:sz w:val="28"/>
          <w:szCs w:val="28"/>
          <w:highlight w:val="none"/>
        </w:rPr>
        <w:t xml:space="preserve">проактивном</w:t>
      </w:r>
      <w:r>
        <w:rPr>
          <w:rFonts w:ascii="Times New Roman" w:hAnsi="Times New Roman"/>
          <w:sz w:val="28"/>
          <w:szCs w:val="28"/>
          <w:highlight w:val="none"/>
        </w:rPr>
        <w:t xml:space="preserve">) </w:t>
      </w:r>
      <w:r>
        <w:rPr>
          <w:rFonts w:ascii="Times New Roman" w:hAnsi="Times New Roman"/>
          <w:sz w:val="28"/>
          <w:szCs w:val="28"/>
          <w:highlight w:val="none"/>
        </w:rPr>
        <w:t xml:space="preserve">режиме</w:t>
      </w:r>
      <w:r>
        <w:rPr>
          <w:rFonts w:ascii="Times New Roman" w:hAnsi="Times New Roman"/>
          <w:sz w:val="28"/>
          <w:szCs w:val="28"/>
          <w:highlight w:val="none"/>
        </w:rPr>
        <w:t xml:space="preserve"> не предоставляется.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5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142"/>
        <w:jc w:val="center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4. Способы информирования заявителя об изменении статуса рассмотрения запроса о предоставлении государственной услуги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142"/>
        <w:jc w:val="center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4.1.</w:t>
      </w:r>
      <w:r>
        <w:rPr>
          <w:rFonts w:ascii="Arial" w:hAnsi="Arial" w:eastAsia="Times New Roman" w:cs="Arial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Информирование заявителя об изменении статуса рассмотрения запроса осуществляется 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одним из перечисленных способов: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лично (при посещении заявителем 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территориального органа Фонда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посредством размещения в личном 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кабинете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 заявителя на Едином портале; 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  <w:highlight w:val="none"/>
        </w:rPr>
        <w:t xml:space="preserve">по электронной почте заявителя.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1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предоставления государственной услуги </w:t>
      </w:r>
      <w:r>
        <w:rPr>
          <w:color w:val="000000" w:themeColor="text1"/>
          <w:sz w:val="28"/>
          <w:szCs w:val="28"/>
          <w:highlight w:val="none"/>
        </w:rPr>
        <w:t xml:space="preserve">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highlight w:val="none"/>
        </w:rPr>
      </w:r>
      <w:r>
        <w:rPr>
          <w:highlight w:val="none"/>
        </w:rPr>
      </w:r>
    </w:p>
    <w:p>
      <w:pPr>
        <w:ind w:left="4956" w:firstLine="708"/>
        <w:jc w:val="right"/>
        <w:spacing w:line="288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 xml:space="preserve">                         </w:t>
      </w:r>
      <w:r>
        <w:rPr>
          <w:rFonts w:eastAsiaTheme="minorEastAsia"/>
          <w:highlight w:val="none"/>
        </w:rPr>
      </w:r>
      <w:r>
        <w:rPr>
          <w:rFonts w:eastAsiaTheme="minorEastAsia"/>
          <w:highlight w:val="none"/>
        </w:rPr>
      </w:r>
    </w:p>
    <w:p>
      <w:pPr>
        <w:ind w:firstLine="708"/>
        <w:jc w:val="center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ПЕРЕЧЕНЬ УСЛОВНЫХ ОБОЗНАЧЕНИЙ И СОКРАЩЕНИЙ 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Для предоставления государственной услуги используются следующие обозначения и сокращения: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Регламент - документ, устанавливающий порядок и стандарт предоставления государственной услуги «</w:t>
      </w:r>
      <w:r>
        <w:rPr>
          <w:bCs/>
          <w:sz w:val="28"/>
          <w:szCs w:val="28"/>
          <w:highlight w:val="none"/>
        </w:rPr>
        <w:t xml:space="preserve">Назначение социального пособия на погребение</w:t>
      </w:r>
      <w:r>
        <w:rPr>
          <w:bCs/>
          <w:sz w:val="28"/>
          <w:szCs w:val="28"/>
          <w:highlight w:val="none"/>
        </w:rPr>
        <w:t xml:space="preserve">»;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государственная услуга</w:t>
      </w:r>
      <w:r>
        <w:rPr>
          <w:bCs/>
          <w:sz w:val="28"/>
          <w:szCs w:val="28"/>
          <w:highlight w:val="none"/>
        </w:rPr>
        <w:t xml:space="preserve"> - государственная услуга «</w:t>
      </w:r>
      <w:r>
        <w:rPr>
          <w:bCs/>
          <w:sz w:val="28"/>
          <w:szCs w:val="28"/>
          <w:highlight w:val="none"/>
        </w:rPr>
        <w:t xml:space="preserve">Назначение социального пособия на погребение</w:t>
      </w:r>
      <w:r>
        <w:rPr>
          <w:bCs/>
          <w:sz w:val="28"/>
          <w:szCs w:val="28"/>
          <w:highlight w:val="none"/>
        </w:rPr>
        <w:t xml:space="preserve">»</w:t>
      </w:r>
      <w:r>
        <w:rPr>
          <w:bCs/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заявитель - </w:t>
      </w:r>
      <w:r>
        <w:rPr>
          <w:bCs/>
          <w:sz w:val="28"/>
          <w:szCs w:val="28"/>
          <w:highlight w:val="none"/>
        </w:rPr>
        <w:t xml:space="preserve">супруг(а), близкие родственники, иные родственники, законные представители умершего или иное лицо, взявшее на себя обязанность осуществить погребение умершего</w:t>
      </w:r>
      <w:r>
        <w:rPr>
          <w:bCs/>
          <w:sz w:val="28"/>
          <w:szCs w:val="28"/>
          <w:highlight w:val="none"/>
        </w:rPr>
        <w:t xml:space="preserve">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представитель заявителя - </w:t>
      </w:r>
      <w:r>
        <w:rPr>
          <w:sz w:val="28"/>
          <w:szCs w:val="28"/>
          <w:highlight w:val="none"/>
        </w:rPr>
        <w:t xml:space="preserve">лицо, действующее на основании доверенности, выданной в порядке, установленном законодательством;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запрос - заявление о н</w:t>
      </w:r>
      <w:r>
        <w:rPr>
          <w:bCs/>
          <w:sz w:val="28"/>
          <w:szCs w:val="28"/>
          <w:highlight w:val="none"/>
        </w:rPr>
        <w:t xml:space="preserve">азначении социального пособия на погребение</w:t>
      </w:r>
      <w:r>
        <w:rPr>
          <w:bCs/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Федеральный закон № 210-ФЗ - Федеральный закон от 27 июля 2010 года № 210-ФЗ «Об организации предоставления государственных и муниципальных услуг»;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Фонд - </w:t>
      </w:r>
      <w:r>
        <w:rPr>
          <w:sz w:val="28"/>
          <w:szCs w:val="28"/>
          <w:highlight w:val="none"/>
        </w:rPr>
        <w:t xml:space="preserve">Фонд пенсионного и социального страхования Российской Федерации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территориальный орган Фонда - </w:t>
      </w:r>
      <w:r>
        <w:rPr>
          <w:sz w:val="28"/>
          <w:szCs w:val="28"/>
          <w:highlight w:val="none"/>
        </w:rPr>
        <w:t xml:space="preserve">территориальные органы Фонда по месту жительства (пребывания) или, в случае отсутствия подтвержденного места жительства (пребывания) - по месту фактического проживания зая</w:t>
      </w:r>
      <w:r>
        <w:rPr>
          <w:sz w:val="28"/>
          <w:szCs w:val="28"/>
          <w:highlight w:val="none"/>
        </w:rPr>
        <w:t xml:space="preserve">вителя;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Предварительная </w:t>
      </w:r>
      <w:r>
        <w:rPr>
          <w:sz w:val="28"/>
          <w:szCs w:val="28"/>
          <w:highlight w:val="none"/>
          <w14:ligatures w14:val="none"/>
        </w:rPr>
        <w:t xml:space="preserve">запись – предварительная запись на прием в территориальный орган Фонда;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539"/>
        <w:jc w:val="both"/>
        <w:widowControl w:val="off"/>
        <w:rPr>
          <w:highlight w:val="none"/>
        </w:rPr>
      </w:pPr>
      <w:r>
        <w:rPr>
          <w:sz w:val="28"/>
          <w:szCs w:val="28"/>
          <w:highlight w:val="none"/>
        </w:rPr>
        <w:t xml:space="preserve">Единая цифровая платформа - </w:t>
      </w:r>
      <w:r>
        <w:rPr>
          <w:sz w:val="28"/>
          <w:szCs w:val="28"/>
          <w:highlight w:val="none"/>
        </w:rPr>
        <w:t xml:space="preserve">государственная информационная система «Единая централизованная цифровая платформа в социальной сфере»</w:t>
      </w:r>
      <w:r>
        <w:rPr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widowControl w:val="off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Единый стандарт - </w:t>
      </w:r>
      <w:r>
        <w:rPr>
          <w:sz w:val="28"/>
          <w:szCs w:val="28"/>
          <w:highlight w:val="none"/>
        </w:rPr>
        <w:t xml:space="preserve">Единый стандарт предоставления государственной услуги по назначению социального пособия на погребение, утвержденный постановлением Правительства Росс</w:t>
      </w:r>
      <w:r>
        <w:rPr>
          <w:sz w:val="28"/>
          <w:szCs w:val="28"/>
          <w:highlight w:val="none"/>
        </w:rPr>
        <w:t xml:space="preserve">ийской Федерации от 20 июня 2024 г. № 830 </w:t>
      </w:r>
      <w:r>
        <w:rPr>
          <w:sz w:val="28"/>
          <w:szCs w:val="28"/>
          <w:highlight w:val="none"/>
        </w:rPr>
        <w:t xml:space="preserve">«О едином стандарте предоставления государственной услуги по назначению социального пособия на погребение»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shd w:val="nil" w:color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br w:type="page" w:clear="all"/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2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widowControl w:val="off"/>
        <w:rPr>
          <w:rFonts w:eastAsiaTheme="minorEastAsia"/>
          <w:color w:val="000000" w:themeColor="text1"/>
          <w:sz w:val="28"/>
          <w:szCs w:val="28"/>
          <w:highlight w:val="none"/>
        </w:rPr>
      </w:pPr>
      <w:r>
        <w:rPr>
          <w:rFonts w:eastAsiaTheme="minorEastAsia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  <w:tab/>
      </w:r>
      <w:r>
        <w:rPr>
          <w:rFonts w:eastAsiaTheme="minorEastAsia"/>
          <w:color w:val="000000" w:themeColor="text1"/>
          <w:sz w:val="28"/>
          <w:szCs w:val="28"/>
          <w:highlight w:val="none"/>
        </w:rPr>
      </w:r>
      <w:r>
        <w:rPr>
          <w:rFonts w:eastAsiaTheme="minorEastAsia"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168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bCs/>
          <w:color w:val="000000" w:themeColor="text1"/>
          <w:sz w:val="28"/>
          <w:szCs w:val="28"/>
          <w:highlight w:val="none"/>
        </w:rPr>
        <w:t xml:space="preserve">Идентификаторы категорий (признаков) заявителей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168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bCs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Style w:val="979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4252"/>
        <w:gridCol w:w="2268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bCs/>
                <w:color w:val="000000" w:themeColor="text1"/>
                <w:spacing w:val="-6"/>
                <w:highlight w:val="none"/>
              </w:rPr>
            </w:pPr>
            <w:r>
              <w:rPr>
                <w:bCs/>
                <w:color w:val="000000" w:themeColor="text1"/>
                <w:spacing w:val="-6"/>
                <w:highlight w:val="none"/>
              </w:rPr>
              <w:t xml:space="preserve">№</w:t>
            </w:r>
            <w:r>
              <w:rPr>
                <w:bCs/>
                <w:color w:val="000000" w:themeColor="text1"/>
                <w:spacing w:val="-6"/>
                <w:highlight w:val="none"/>
              </w:rPr>
            </w:r>
            <w:r>
              <w:rPr>
                <w:bCs/>
                <w:color w:val="000000" w:themeColor="text1"/>
                <w:spacing w:val="-6"/>
                <w:highlight w:val="none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pacing w:val="-6"/>
                <w:highlight w:val="none"/>
              </w:rPr>
            </w:pPr>
            <w:r>
              <w:rPr>
                <w:bCs/>
                <w:color w:val="000000" w:themeColor="text1"/>
                <w:spacing w:val="-6"/>
                <w:highlight w:val="none"/>
              </w:rPr>
              <w:t xml:space="preserve">п/п</w:t>
            </w:r>
            <w:r>
              <w:rPr>
                <w:color w:val="000000" w:themeColor="text1"/>
                <w:spacing w:val="-6"/>
                <w:highlight w:val="none"/>
              </w:rPr>
            </w:r>
            <w:r>
              <w:rPr>
                <w:color w:val="000000" w:themeColor="text1"/>
                <w:spacing w:val="-6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Результат предоставления государственной услуги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pacing w:val="-6"/>
                <w:highlight w:val="none"/>
              </w:rPr>
            </w:pPr>
            <w:r>
              <w:rPr>
                <w:bCs/>
                <w:color w:val="000000" w:themeColor="text1"/>
                <w:spacing w:val="-6"/>
                <w:highlight w:val="none"/>
              </w:rPr>
              <w:t xml:space="preserve">Наименование отдельного признака заявителя</w:t>
            </w:r>
            <w:r>
              <w:rPr>
                <w:color w:val="000000" w:themeColor="text1"/>
                <w:spacing w:val="-6"/>
                <w:highlight w:val="none"/>
              </w:rPr>
            </w:r>
            <w:r>
              <w:rPr>
                <w:color w:val="000000" w:themeColor="text1"/>
                <w:spacing w:val="-6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pacing w:val="-6"/>
                <w:highlight w:val="none"/>
              </w:rPr>
            </w:pPr>
            <w:r>
              <w:rPr>
                <w:bCs/>
                <w:color w:val="000000" w:themeColor="text1"/>
                <w:spacing w:val="-6"/>
                <w:highlight w:val="none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  <w:spacing w:val="-6"/>
                <w:highlight w:val="none"/>
              </w:rPr>
            </w:r>
            <w:r>
              <w:rPr>
                <w:color w:val="000000" w:themeColor="text1"/>
                <w:spacing w:val="-6"/>
                <w:highlight w:val="none"/>
              </w:rPr>
            </w:r>
          </w:p>
        </w:tc>
      </w:tr>
      <w:tr>
        <w:tblPrEx/>
        <w:trPr>
          <w:trHeight w:val="1314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pacing w:val="-6"/>
                <w:highlight w:val="none"/>
              </w:rPr>
            </w:pPr>
            <w:r>
              <w:rPr>
                <w:color w:val="000000" w:themeColor="text1"/>
                <w:spacing w:val="-6"/>
                <w:highlight w:val="none"/>
              </w:rPr>
              <w:t xml:space="preserve">1.</w:t>
            </w:r>
            <w:r>
              <w:rPr>
                <w:color w:val="000000" w:themeColor="text1"/>
                <w:spacing w:val="-6"/>
                <w:highlight w:val="none"/>
              </w:rPr>
            </w:r>
            <w:r>
              <w:rPr>
                <w:color w:val="000000" w:themeColor="text1"/>
                <w:spacing w:val="-6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 w:themeColor="text1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Решение 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назначении социального пособия на погребение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супруг(а), близкие родственники, иные родственники, законные представители умершего или иное лицо, взявшее на себя обязанность осуществить погребение умершего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1</w:t>
            </w: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А</w:t>
            </w: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</w:r>
            <w:r>
              <w:rPr>
                <w:color w:val="000000" w:themeColor="text1"/>
                <w:spacing w:val="-6"/>
              </w:rPr>
            </w:r>
            <w:r>
              <w:rPr>
                <w:color w:val="000000" w:themeColor="text1"/>
                <w:spacing w:val="-6"/>
              </w:rPr>
            </w:r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Представитель заявителя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2А</w:t>
            </w: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6"/>
                <w:sz w:val="24"/>
                <w:szCs w:val="24"/>
                <w:highlight w:val="none"/>
              </w:rPr>
            </w:r>
          </w:p>
        </w:tc>
      </w:tr>
    </w:tbl>
    <w:p>
      <w:pPr>
        <w:shd w:val="nil" w:color="auto"/>
        <w:rPr>
          <w:rFonts w:eastAsiaTheme="minorEastAsia"/>
          <w:sz w:val="28"/>
          <w:szCs w:val="28"/>
          <w:highlight w:val="none"/>
        </w:rPr>
        <w:outlineLvl w:val="1"/>
      </w:pPr>
      <w:r>
        <w:rPr>
          <w:rFonts w:eastAsiaTheme="minorEastAsia"/>
          <w:sz w:val="28"/>
          <w:szCs w:val="28"/>
          <w:highlight w:val="none"/>
        </w:rPr>
        <w:br w:type="page" w:clear="all"/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3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4956" w:firstLine="708"/>
        <w:jc w:val="right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right="-1"/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bCs/>
          <w:sz w:val="28"/>
          <w:szCs w:val="28"/>
          <w:highlight w:val="none"/>
        </w:rPr>
        <w:t xml:space="preserve">Исчерпывающий перечень документов, необходимых для 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right="-1" w:firstLine="709"/>
        <w:jc w:val="center"/>
        <w:widowControl w:val="off"/>
        <w:rPr>
          <w:rFonts w:eastAsiaTheme="minorEastAsia"/>
          <w:bCs/>
          <w:sz w:val="28"/>
          <w:szCs w:val="28"/>
          <w:highlight w:val="none"/>
        </w:rPr>
      </w:pPr>
      <w:r>
        <w:rPr>
          <w:rFonts w:eastAsiaTheme="minorEastAsia"/>
          <w:bCs/>
          <w:sz w:val="28"/>
          <w:szCs w:val="28"/>
          <w:highlight w:val="none"/>
        </w:rPr>
        <w:t xml:space="preserve">предоставления государственной услуги</w:t>
      </w:r>
      <w:r>
        <w:rPr>
          <w:rFonts w:eastAsiaTheme="minorEastAsia"/>
          <w:bCs/>
          <w:sz w:val="28"/>
          <w:szCs w:val="28"/>
          <w:highlight w:val="none"/>
        </w:rPr>
      </w:r>
      <w:r>
        <w:rPr>
          <w:rFonts w:eastAsiaTheme="minorEastAsia"/>
          <w:bCs/>
          <w:sz w:val="28"/>
          <w:szCs w:val="28"/>
          <w:highlight w:val="none"/>
        </w:rPr>
      </w:r>
    </w:p>
    <w:p>
      <w:pPr>
        <w:ind w:right="-1" w:firstLine="709"/>
        <w:jc w:val="center"/>
        <w:widowControl w:val="off"/>
        <w:rPr>
          <w:rFonts w:eastAsiaTheme="minorEastAsia"/>
          <w:bCs/>
          <w:sz w:val="28"/>
          <w:szCs w:val="28"/>
          <w:highlight w:val="none"/>
        </w:rPr>
      </w:pPr>
      <w:r>
        <w:rPr>
          <w:rFonts w:eastAsiaTheme="minorEastAsia"/>
          <w:bCs/>
          <w:sz w:val="28"/>
          <w:szCs w:val="28"/>
          <w:highlight w:val="none"/>
        </w:rPr>
      </w:r>
      <w:r>
        <w:rPr>
          <w:rFonts w:eastAsiaTheme="minorEastAsia"/>
          <w:bCs/>
          <w:sz w:val="28"/>
          <w:szCs w:val="28"/>
          <w:highlight w:val="none"/>
        </w:rPr>
      </w:r>
      <w:r>
        <w:rPr>
          <w:rFonts w:eastAsiaTheme="minorEastAsia"/>
          <w:bCs/>
          <w:sz w:val="28"/>
          <w:szCs w:val="28"/>
          <w:highlight w:val="none"/>
        </w:rPr>
      </w:r>
    </w:p>
    <w:tbl>
      <w:tblPr>
        <w:tblStyle w:val="980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1139"/>
        <w:gridCol w:w="2976"/>
        <w:gridCol w:w="2692"/>
        <w:gridCol w:w="2832"/>
      </w:tblGrid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ind w:right="-1" w:firstLine="709"/>
              <w:jc w:val="center"/>
              <w:widowControl w:val="off"/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  <w:t xml:space="preserve">№№ п/п</w:t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  <w:t xml:space="preserve">Идентификатор признака заявителя</w:t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  <w:t xml:space="preserve">Расшифровка видов документов предоставляемых заявителем, кол-во документов из группы</w:t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  <w:t xml:space="preserve">Способ предоставления</w:t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  <w:t xml:space="preserve">Иные требования</w:t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4"/>
        </w:trPr>
        <w:tc>
          <w:tcPr>
            <w:gridSpan w:val="5"/>
            <w:tcW w:w="10201" w:type="dxa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Документы, которые заявитель представляет самостоятельно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1.1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rPr>
                <w:color w:val="000000"/>
                <w:spacing w:val="-6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pacing w:val="-6"/>
                <w:sz w:val="24"/>
                <w:szCs w:val="24"/>
                <w:highlight w:val="none"/>
              </w:rPr>
              <w:t xml:space="preserve">Запрос</w:t>
            </w:r>
            <w:r>
              <w:rPr>
                <w:color w:val="000000"/>
                <w:spacing w:val="-6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/>
                <w:spacing w:val="-6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</w:t>
            </w:r>
            <w:r>
              <w:rPr>
                <w:color w:val="000000" w:themeColor="text1"/>
                <w:highlight w:val="none"/>
              </w:rPr>
              <w:t xml:space="preserve">территор</w:t>
            </w:r>
            <w:r>
              <w:rPr>
                <w:color w:val="000000" w:themeColor="text1"/>
                <w:highlight w:val="none"/>
              </w:rPr>
              <w:t xml:space="preserve">иальный орган </w:t>
            </w:r>
            <w:r>
              <w:rPr>
                <w:sz w:val="24"/>
                <w:szCs w:val="24"/>
                <w:highlight w:val="none"/>
              </w:rPr>
              <w:t xml:space="preserve">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оригинал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заполнение запроса о предоставлении государственной услуги с использованием интерактивной формы в электронном виде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836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1.2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документ, удостоверяющий личность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оригинал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color w:val="000000"/>
                <w:spacing w:val="-6"/>
                <w:highlight w:val="none"/>
              </w:rPr>
            </w:pPr>
            <w:r>
              <w:rPr>
                <w:bCs/>
                <w:color w:val="000000"/>
                <w:spacing w:val="-6"/>
                <w:highlight w:val="none"/>
              </w:rPr>
              <w:t xml:space="preserve">посредством Единого портала </w:t>
            </w:r>
            <w:r>
              <w:rPr>
                <w:color w:val="000000"/>
                <w:spacing w:val="-6"/>
                <w:highlight w:val="none"/>
              </w:rPr>
            </w:r>
            <w:r>
              <w:rPr>
                <w:color w:val="000000"/>
                <w:spacing w:val="-6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color w:val="000000" w:themeColor="text1"/>
                <w:spacing w:val="-6"/>
                <w:highlight w:val="none"/>
              </w:rPr>
            </w:pPr>
            <w:r>
              <w:rPr>
                <w:bCs/>
                <w:color w:val="000000" w:themeColor="text1"/>
                <w:spacing w:val="-6"/>
                <w:highlight w:val="none"/>
              </w:rPr>
              <w:t xml:space="preserve">сведения из документа, удостоверяющего личность, проверяются при подтверждении учетной записи в Единой системе идентификац</w:t>
            </w:r>
            <w:r>
              <w:rPr>
                <w:bCs/>
                <w:color w:val="000000" w:themeColor="text1"/>
                <w:spacing w:val="-6"/>
                <w:highlight w:val="none"/>
              </w:rPr>
              <w:t xml:space="preserve">ии и ау</w:t>
            </w:r>
            <w:r>
              <w:rPr>
                <w:bCs/>
                <w:color w:val="000000" w:themeColor="text1"/>
                <w:spacing w:val="-6"/>
                <w:highlight w:val="none"/>
              </w:rPr>
              <w:t xml:space="preserve">тентификации в инфраструктуре, обеспечивающей информационно-технологическое взаимодействие информационных систем, используемых </w:t>
            </w:r>
            <w:r>
              <w:rPr>
                <w:bCs/>
                <w:color w:val="000000" w:themeColor="text1"/>
                <w:spacing w:val="-6"/>
                <w:highlight w:val="none"/>
              </w:rPr>
              <w:t xml:space="preserve">для предоставления государственных и муниципальных услуг в электронной форме</w:t>
            </w:r>
            <w:r>
              <w:rPr>
                <w:bCs/>
                <w:color w:val="000000" w:themeColor="text1"/>
                <w:spacing w:val="-6"/>
                <w:highlight w:val="none"/>
              </w:rPr>
            </w:r>
            <w:r>
              <w:rPr>
                <w:bCs/>
                <w:color w:val="000000" w:themeColor="text1"/>
                <w:spacing w:val="-6"/>
                <w:highlight w:val="none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1.3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документ, подтверждающий полномочия представителя заявителя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1.4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документ о смерти, выданный компетентным органом иностранного государства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1.5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документ о смерти, выданный компетентным органом иностранного государства (в случае, если умерший несовершеннолетний)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1.6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сведения о государственной регистрации рождения мертворожденного ребенка (по истечении 154 дней беременности) (в случае регистрации записи соответствующего акта компетентным органом иностранного государства)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1.7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сведения о государственной регистрации смерти, выданный компетентным 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органом иностранного государства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1.8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сведения о государственной регистрации рождения умершего, выданный компетентным 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органом иностранного государства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(в случае, если умерший несовершеннолетний)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1"/>
        </w:trPr>
        <w:tc>
          <w:tcPr>
            <w:gridSpan w:val="5"/>
            <w:tcW w:w="10201" w:type="dxa"/>
            <w:textDirection w:val="lrTb"/>
            <w:noWrap w:val="false"/>
          </w:tcPr>
          <w:p>
            <w:pPr>
              <w:ind w:left="709" w:right="-1" w:firstLine="0"/>
              <w:jc w:val="center"/>
              <w:widowControl w:val="off"/>
              <w:rPr>
                <w:bCs/>
                <w:i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2. </w:t>
            </w:r>
            <w:r>
              <w:rPr>
                <w:sz w:val="24"/>
                <w:szCs w:val="24"/>
                <w:highlight w:val="none"/>
              </w:rPr>
      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bCs/>
                <w:i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5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2.1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сведения о государственной регистрации смерти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(сведения получают из Федеральной налоговой службы)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50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ind w:right="-1" w:firstLine="709"/>
              <w:jc w:val="both"/>
              <w:widowControl w:val="off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</w:rPr>
            </w:r>
            <w:r>
              <w:rPr>
                <w:bCs/>
                <w:color w:val="000000"/>
                <w:spacing w:val="-6"/>
              </w:rPr>
            </w:r>
            <w:r>
              <w:rPr>
                <w:bCs/>
                <w:color w:val="000000"/>
                <w:spacing w:val="-6"/>
              </w:rPr>
            </w:r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5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 w:firstLine="0"/>
              <w:jc w:val="both"/>
              <w:widowControl w:val="off"/>
              <w:rPr>
                <w:bCs/>
                <w:color w:val="000000"/>
                <w:spacing w:val="-6"/>
                <w:highlight w:val="none"/>
              </w:rPr>
            </w:pPr>
            <w:r>
              <w:rPr>
                <w:bCs/>
                <w:color w:val="000000"/>
                <w:spacing w:val="-6"/>
                <w:highlight w:val="none"/>
              </w:rPr>
              <w:t xml:space="preserve">2.2</w:t>
            </w:r>
            <w:r>
              <w:rPr>
                <w:bCs/>
                <w:color w:val="000000"/>
                <w:spacing w:val="-6"/>
                <w:highlight w:val="none"/>
              </w:rPr>
            </w:r>
            <w:r>
              <w:rPr>
                <w:bCs/>
                <w:color w:val="000000"/>
                <w:spacing w:val="-6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  <w:highlight w:val="none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bCs/>
                <w:color w:val="000000"/>
                <w:spacing w:val="-6"/>
                <w:sz w:val="28"/>
                <w:szCs w:val="28"/>
                <w:highlight w:val="none"/>
              </w:rPr>
            </w:r>
            <w:r>
              <w:rPr>
                <w:bCs/>
                <w:color w:val="000000"/>
                <w:spacing w:val="-6"/>
                <w:sz w:val="28"/>
                <w:szCs w:val="28"/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сведения о государственной регистрации 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рождения умершего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(в случае, если умерший несовершеннолетний)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(сведения получают из Федеральной налоговой службы)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50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2.3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сведения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 государственной регистрации рождения мертворожденного ребенка (по истечении 154 дней беременности) (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Федеральной налоговой службы)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ind w:right="-1" w:firstLine="709"/>
              <w:jc w:val="both"/>
              <w:widowControl w:val="off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</w:rPr>
            </w:r>
            <w:r>
              <w:rPr>
                <w:bCs/>
                <w:color w:val="000000"/>
                <w:spacing w:val="-6"/>
              </w:rPr>
            </w:r>
            <w:r>
              <w:rPr>
                <w:bCs/>
                <w:color w:val="000000"/>
                <w:spacing w:val="-6"/>
              </w:rPr>
            </w:r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  <w:r>
              <w:rPr>
                <w:bCs/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tLeast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9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ind w:right="-1" w:firstLine="0"/>
              <w:jc w:val="both"/>
              <w:widowControl w:val="off"/>
              <w:rPr>
                <w:bCs/>
                <w:color w:val="000000"/>
                <w:spacing w:val="-6"/>
                <w:highlight w:val="none"/>
              </w:rPr>
            </w:pPr>
            <w:r>
              <w:rPr>
                <w:bCs/>
                <w:color w:val="000000"/>
                <w:spacing w:val="-6"/>
                <w:highlight w:val="none"/>
              </w:rPr>
              <w:t xml:space="preserve">2.4</w:t>
            </w:r>
            <w:r>
              <w:rPr>
                <w:bCs/>
                <w:color w:val="000000"/>
                <w:spacing w:val="-6"/>
                <w:highlight w:val="none"/>
              </w:rPr>
            </w:r>
            <w:r>
              <w:rPr>
                <w:bCs/>
                <w:color w:val="000000"/>
                <w:spacing w:val="-6"/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о законном представител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е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 в отношении умершего лица (в случае, если умерший несовершеннолетний) (сведения получают из государственной информационной систем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ы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 «Единая централизованная цифровая платформа в социальной сфере»)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2.5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 неполучении пособия на погребение в отношении умершего лица (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Фонда)</w:t>
              <w:br/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2.6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сведения о том, что умерший подлежал на день смерти обязательному социальному страхованию на случай временной нетрудоспособности и в связи с материнством или члены семьи (один из членов семьи)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умершего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несовершеннолетнего подлежали обязательному социальном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у страхованию на случай временной нетрудоспособности и в связи с материнством (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Фонда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160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2.7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сведения об осуществлении Фондом пенсионного и социального страхования Российской Федерации пенсионного обеспечения умершего на день его смерти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Фонда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2.8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сведения об осуществлении пенсионного обеспечения умершего на день его смерт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и органом, указанным в </w:t>
            </w:r>
            <w:hyperlink r:id="rId12" w:tooltip="https://login.consultant.ru/link/?req=doc&amp;base=LAW&amp;n=468291&amp;dst=91&amp;field=134&amp;date=16.07.2026" w:history="1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  <w:highlight w:val="none"/>
                </w:rPr>
                <w:t xml:space="preserve">подпункте 3 пункта 2 статьи 10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Федерального закона «О погребении и похоронном деле»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Фонда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highlight w:val="none"/>
                <w14:ligatures w14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2.9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139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документ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о регистрации по месту жительства и месту пребывания умершего (</w:t>
            </w:r>
            <w:r>
              <w:rPr>
                <w:rFonts w:ascii="Times New Roman" w:hAnsi="Times New Roman"/>
                <w:bCs/>
                <w:color w:val="000000" w:themeColor="text1"/>
                <w:spacing w:val="-6"/>
                <w:sz w:val="24"/>
                <w:szCs w:val="24"/>
                <w:highlight w:val="none"/>
              </w:rPr>
              <w:t xml:space="preserve">сведения получают 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 Федеральной налоговой службы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личное обращение в территориальный орган Фонда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65"/>
        </w:trPr>
        <w:tc>
          <w:tcPr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посредством Единого портала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  <w:tc>
          <w:tcPr>
            <w:tcW w:w="2832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сканированная копия документа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</w:tbl>
    <w:p>
      <w:pPr>
        <w:shd w:val="nil" w:color="auto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4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4956" w:firstLine="708"/>
        <w:jc w:val="right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4956" w:firstLine="708"/>
        <w:jc w:val="right"/>
        <w:spacing w:line="288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57" w:firstLine="709"/>
        <w:jc w:val="center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  <w:t xml:space="preserve"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</w:t>
      </w:r>
      <w:r>
        <w:rPr>
          <w:bCs/>
          <w:sz w:val="28"/>
          <w:szCs w:val="28"/>
          <w:highlight w:val="none"/>
        </w:rPr>
        <w:t xml:space="preserve">й услуги или для отказа в предоставлении государственной услуги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57" w:firstLine="709"/>
        <w:jc w:val="center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795"/>
        <w:gridCol w:w="1843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Перечень оснований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Идентификатор признака заявителя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2"/>
        </w:trPr>
        <w:tc>
          <w:tcPr>
            <w:gridSpan w:val="3"/>
            <w:tcW w:w="10205" w:type="dxa"/>
            <w:textDirection w:val="lrTb"/>
            <w:noWrap w:val="false"/>
          </w:tcPr>
          <w:p>
            <w:pPr>
              <w:pStyle w:val="951"/>
              <w:numPr>
                <w:ilvl w:val="0"/>
                <w:numId w:val="20"/>
              </w:numPr>
              <w:ind w:left="0" w:firstLine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Перечень оснований для отказа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приеме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 запроса о предоставлении государственной услуги и документов, необходимых для предоставления государственной услуги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  <w:highlight w:val="none"/>
              </w:rPr>
            </w:pPr>
            <w:r>
              <w:rPr>
                <w:bCs/>
                <w:highlight w:val="none"/>
              </w:rPr>
              <w:t xml:space="preserve">непредставление (представление не в полном объеме) документов, которые заявитель представляет самостоятельно, указанных в пунктах 1.1 - </w:t>
            </w:r>
            <w:r>
              <w:rPr>
                <w:bCs/>
                <w:highlight w:val="none"/>
              </w:rPr>
              <w:t xml:space="preserve">1.8</w:t>
            </w:r>
            <w:r>
              <w:rPr>
                <w:bCs/>
                <w:highlight w:val="none"/>
              </w:rPr>
              <w:t xml:space="preserve"> приложения № 3 к настоящему Регламенту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обращение лица, не соответствующего требованиям, установленным пунктом 1.2 настоящего Регламента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наличие в документах подчисток, приписок, зачеркнутых слов и исправлений, не заверенных в соответствии с законодательством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представление документов (сведений) не соответствующих по форме или содержанию требованиям законодательства Российской Федерации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63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запрос подан в электронной форме с нарушением установленных требований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неполное (некорректное) заполнение полей в форме запроса, в том числе в интерактивной форме запроса на Едином портале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5" w:type="dxa"/>
            <w:vMerge w:val="restart"/>
            <w:textDirection w:val="lrTb"/>
            <w:noWrap w:val="false"/>
          </w:tcPr>
          <w:p>
            <w:pPr>
              <w:pStyle w:val="951"/>
              <w:ind w:left="-142" w:firstLine="567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2. Пе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речень оснований для приостановления государственной услуги не установлены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5" w:type="dxa"/>
            <w:textDirection w:val="lrTb"/>
            <w:noWrap w:val="false"/>
          </w:tcPr>
          <w:p>
            <w:pPr>
              <w:pStyle w:val="951"/>
              <w:ind w:left="0" w:right="0" w:firstLine="567"/>
              <w:jc w:val="center"/>
              <w:rPr>
                <w:rFonts w:ascii="Times New Roman" w:hAnsi="Times New Roman" w:cs="Times New Roman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3. Перечень оснований для отказа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предоставлении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  <w:t xml:space="preserve"> государственной услуги законодательством</w:t>
            </w:r>
            <w:r>
              <w:rPr>
                <w:rFonts w:ascii="Times New Roman" w:hAnsi="Times New Roman" w:cs="Times New Roman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установление в отношении умершего факта назначения пособия или предоставления услуг согласно гарантированному перечню услуг по погребению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наличие недостоверных данных в запросе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непредставление заявителем документа о смерти, выданного компетентным органом иностранного государства, если в запросе указано об обращении за выплатой пособия на погребение лица, умершего на территории иностранного государства, смерть которого зарегистрир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ована компетентным органом иностранного государства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vMerge w:val="restart"/>
            <w:textDirection w:val="lrTb"/>
            <w:noWrap w:val="false"/>
          </w:tcPr>
          <w:p>
            <w:pPr>
              <w:jc w:val="both"/>
              <w:shd w:val="nil" w:color="auto"/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обращение с запросом по истечении шести месяцев с даты государственной регистрации смерти</w:t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  <w:highlight w:val="none"/>
              </w:rPr>
              <w:t xml:space="preserve">1А, 2А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5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(форма утверждена </w:t>
      </w:r>
      <w:r>
        <w:rPr>
          <w:color w:val="000000" w:themeColor="text1"/>
          <w:sz w:val="28"/>
          <w:szCs w:val="28"/>
          <w:highlight w:val="none"/>
        </w:rPr>
        <w:t xml:space="preserve">Постановлением Правительства РФ от 20.06.2024 № 830 «О едином стандарте предоставления государственной услуги по назначению социального пособия на погребение»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left="4956" w:firstLine="708"/>
        <w:jc w:val="right"/>
        <w:spacing w:line="288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аявление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назначении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социального пособия на погребение или получении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widowControl w:val="off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выписки о выборе получения услуг, предоставляемых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widowControl w:val="off"/>
        <w:rPr>
          <w:rFonts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согласно гарантированному перечню услуг по погребению</w:t>
      </w:r>
      <w:r>
        <w:rPr>
          <w:rFonts w:ascii="Times New Roman" w:hAnsi="Times New Roman" w:cs="Times New Roman" w:eastAsiaTheme="minorEastAsia"/>
          <w:sz w:val="28"/>
          <w:szCs w:val="28"/>
          <w:highlight w:val="none"/>
        </w:rPr>
      </w:r>
      <w:r>
        <w:rPr>
          <w:rFonts w:ascii="Times New Roman" w:hAnsi="Times New Roman" w:cs="Times New Roman"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line="57" w:lineRule="atLeast"/>
        <w:rPr>
          <w:sz w:val="28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32"/>
          <w:highlight w:val="none"/>
        </w:rPr>
        <w:t xml:space="preserve">Сделайте отметку в соответствующем квадрате:</w:t>
      </w:r>
      <w:r>
        <w:rPr>
          <w:sz w:val="28"/>
          <w:szCs w:val="32"/>
          <w:highlight w:val="none"/>
        </w:rPr>
      </w:r>
      <w:r>
        <w:rPr>
          <w:sz w:val="28"/>
          <w:szCs w:val="32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32"/>
          <w:highlight w:val="none"/>
        </w:rPr>
      </w:r>
      <w:r>
        <w:rPr>
          <w:sz w:val="28"/>
          <w:szCs w:val="32"/>
          <w:highlight w:val="none"/>
        </w:rPr>
      </w:r>
      <w:r>
        <w:rPr>
          <w:sz w:val="28"/>
          <w:szCs w:val="32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23"/>
        <w:gridCol w:w="770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2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4"/>
                <w:highlight w:val="none"/>
              </w:rPr>
            </w:r>
            <w:r>
              <w:rPr>
                <w:sz w:val="22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12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3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32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3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highlight w:val="none"/>
              </w:rPr>
              <w:t xml:space="preserve">назначение социального пособия на погребение</w:t>
            </w:r>
            <w:r>
              <w:rPr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12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3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32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3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2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4"/>
                <w:highlight w:val="none"/>
              </w:rPr>
            </w:r>
            <w:r>
              <w:rPr>
                <w:sz w:val="22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4"/>
                <w:szCs w:val="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6"/>
                <w:szCs w:val="6"/>
                <w:highlight w:val="none"/>
              </w:rPr>
            </w:r>
            <w:r>
              <w:rPr>
                <w:sz w:val="4"/>
                <w:szCs w:val="6"/>
                <w:highlight w:val="none"/>
              </w:rPr>
            </w:r>
            <w:r>
              <w:rPr>
                <w:sz w:val="4"/>
                <w:szCs w:val="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12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8"/>
                <w:szCs w:val="1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0"/>
                <w:szCs w:val="10"/>
                <w:highlight w:val="none"/>
              </w:rPr>
            </w:r>
            <w:r>
              <w:rPr>
                <w:sz w:val="8"/>
                <w:szCs w:val="10"/>
                <w:highlight w:val="none"/>
              </w:rPr>
            </w:r>
            <w:r>
              <w:rPr>
                <w:sz w:val="8"/>
                <w:szCs w:val="1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sz w:val="28"/>
                <w:szCs w:val="3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highlight w:val="none"/>
              </w:rPr>
              <w:t xml:space="preserve">получение выписки о выборе получения услуг,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highlight w:val="none"/>
              </w:rPr>
              <w:t xml:space="preserve">предоставляемых согласно гарантированному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  <w:highlight w:val="none"/>
              </w:rPr>
              <w:t xml:space="preserve">перечню услуг по погребению</w:t>
            </w:r>
            <w:r>
              <w:rPr>
                <w:sz w:val="28"/>
                <w:szCs w:val="32"/>
                <w:highlight w:val="none"/>
              </w:rPr>
            </w:r>
            <w:r>
              <w:rPr>
                <w:sz w:val="28"/>
                <w:szCs w:val="32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2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 Сведения о заявителе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5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Фамилия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Имя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Отчество (при наличии)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СНИЛС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Дата рождения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Сведения о документе, удостоверяющем личность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(вид, дата выдачи, реквизиты)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Адрес регистрации по месту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жительства или месту пребывания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Контактные данные (номер телефона, адрес электронной почты)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center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Сделайте отметку в соответствующем квадрате</w:t>
      </w:r>
      <w:r>
        <w:rPr>
          <w:rStyle w:val="931"/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39"/>
        <w:gridCol w:w="770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супруг (супруга)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близкий родственник (иной родственник)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иное лицо, взявшее на себя обязанность осуществить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погребение умершего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6" w:type="dxa"/>
              <w:top w:w="0" w:type="dxa"/>
              <w:right w:w="0" w:type="dxa"/>
              <w:bottom w:w="0" w:type="dxa"/>
            </w:tcMar>
            <w:tcW w:w="9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center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Сведения об умершем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5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Фамилия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Имя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Отчество (при наличии)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Дата рождения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Гражданство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Номер записи единого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Федерального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информационного регистра, содержащего сведения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 населении Российской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Федерации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(при наличии)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Адрес регистрации/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</w:r>
          </w:p>
          <w:p>
            <w:pPr>
              <w:ind w:left="0" w:right="0" w:firstLine="0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пребывания по последнему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месту жительства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Отметьте ДА, если умерший на день смерти не имел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регистрации по месту жительства/пребывания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Реквизиты записи акта</w:t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 смерти</w:t>
            </w:r>
            <w:r>
              <w:rPr>
                <w:rStyle w:val="931"/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footnoteReference w:id="3"/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  <w:p>
            <w:pPr>
              <w:ind w:left="0" w:right="0" w:firstLine="0"/>
              <w:jc w:val="both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(номер записи акта)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2"/>
                <w:highlight w:val="none"/>
              </w:rPr>
            </w:r>
            <w:r>
              <w:rPr>
                <w:sz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(дата записи акта)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(код и наименование органа, которым произведена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line="253" w:lineRule="atLeast"/>
              <w:rPr>
                <w:sz w:val="18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государственная регистрация смерти)</w:t>
            </w:r>
            <w:r>
              <w:rPr>
                <w:sz w:val="18"/>
                <w:szCs w:val="20"/>
                <w:highlight w:val="none"/>
              </w:rPr>
            </w:r>
            <w:r>
              <w:rPr>
                <w:sz w:val="18"/>
                <w:szCs w:val="20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Сделайте отметку относительно каждого утверждения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9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Умерший на день смерти работал (был работающим пенсионером),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ельному страхованию на случай временной нетрудоспособности и в связи с материнством на день смерти этого несовершеннолетнего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Умерший на день смерти не являлся пенсионером, не работал (не подлежал обязательному социальному страхованию на случай временной нетрудоспособности и в связи с материнством), или в случае рождения мертвого ребенка по истечении 154 дней беременности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53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ДА/НЕТ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Умерший на день смерти являлся лицом, умершим на территории иностранного государства, смерть которого зарегистрирована компетентным органом иностранного государства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2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sz w:val="24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 Сделайте отметку в соответствующем квадрате для определения</w:t>
      </w:r>
      <w:r>
        <w:rPr>
          <w:sz w:val="24"/>
          <w:szCs w:val="28"/>
          <w:highlight w:val="none"/>
        </w:rPr>
      </w:r>
      <w:r>
        <w:rPr>
          <w:sz w:val="24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sz w:val="24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способа назначения социального пособия</w:t>
      </w:r>
      <w:r>
        <w:rPr>
          <w:sz w:val="24"/>
          <w:szCs w:val="28"/>
          <w:highlight w:val="none"/>
        </w:rPr>
      </w:r>
      <w:r>
        <w:rPr>
          <w:sz w:val="24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87"/>
        <w:gridCol w:w="3374"/>
        <w:gridCol w:w="654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4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283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через кредитную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организацию: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наименование кредитной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организации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БИК кредитной организации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КПП кредитной организации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номер счета заявителя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7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283"/>
              <w:jc w:val="both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через организацию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федеральной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почтовой связи: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индекс почтового отделения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связи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номер почтового отделения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left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5. К заявлению прилагаю документы</w:t>
      </w:r>
      <w:r>
        <w:rPr>
          <w:rStyle w:val="931"/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footnoteReference w:id="4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35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п/п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Наименование документа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" w:type="dxa"/>
              <w:top w:w="0" w:type="dxa"/>
              <w:right w:w="6" w:type="dxa"/>
              <w:bottom w:w="0" w:type="dxa"/>
            </w:tcMar>
            <w:tcW w:w="935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6. Сделайте отметку в соответствующем квадрате для осуществления информирования о ходе предоставления государственной услуги и результате предоставления государственной услуги по назначению социального пособия на погребение</w:t>
      </w:r>
      <w:r>
        <w:rPr>
          <w:rStyle w:val="931"/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footnoteReference w:id="5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4"/>
        <w:gridCol w:w="466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0" w:type="dxa"/>
              <w:bottom w:w="0" w:type="dxa"/>
            </w:tcMar>
            <w:tcW w:w="46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 электронной почте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Адрес электронной почты 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4"/>
        <w:gridCol w:w="466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0" w:type="dxa"/>
              <w:bottom w:w="0" w:type="dxa"/>
            </w:tcMar>
            <w:tcW w:w="46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 почте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Почтовый адрес 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8"/>
        <w:gridCol w:w="929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0" w:type="dxa"/>
              <w:bottom w:w="0" w:type="dxa"/>
            </w:tcMar>
            <w:tcW w:w="92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 территориальном органе Фонда пенсионного и социального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страхования Российской Федерации по месту обращения.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57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452"/>
        <w:gridCol w:w="425"/>
        <w:gridCol w:w="1071"/>
        <w:gridCol w:w="347"/>
        <w:gridCol w:w="709"/>
        <w:gridCol w:w="589"/>
        <w:gridCol w:w="2976"/>
        <w:gridCol w:w="28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Дата «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7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г.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Подпись заявителя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sz w:val="32"/>
          <w:szCs w:val="32"/>
          <w:highlight w:val="none"/>
        </w:rPr>
        <w:br w:type="page" w:clear="all"/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6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(форма утверждена </w:t>
      </w:r>
      <w:r>
        <w:rPr>
          <w:color w:val="000000" w:themeColor="text1"/>
          <w:sz w:val="28"/>
          <w:szCs w:val="28"/>
          <w:highlight w:val="none"/>
        </w:rPr>
        <w:t xml:space="preserve">Постановлением Правительства РФ от 20.06.2024 № 830 «О едином стандарте предоставления государственной услуги по назначению социального пособия на погребение»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right"/>
        <w:spacing w:line="288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spacing w:line="288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highlight w:val="none"/>
        </w:rPr>
      </w:r>
      <w:bookmarkStart w:id="0" w:name="undefined"/>
      <w:r>
        <w:rPr>
          <w:highlight w:val="none"/>
        </w:rPr>
      </w:r>
      <w:bookmarkEnd w:id="0"/>
      <w:r>
        <w:rPr>
          <w:rFonts w:eastAsiaTheme="minorEastAsia"/>
          <w:sz w:val="28"/>
          <w:szCs w:val="28"/>
          <w:highlight w:val="none"/>
        </w:rPr>
        <w:t xml:space="preserve">Решение</w:t>
      </w:r>
      <w:r>
        <w:rPr>
          <w:rFonts w:eastAsiaTheme="minorEastAsia"/>
          <w:sz w:val="28"/>
          <w:szCs w:val="28"/>
          <w:highlight w:val="none"/>
        </w:rPr>
        <w:t xml:space="preserve"> </w:t>
      </w:r>
      <w:r>
        <w:rPr>
          <w:rFonts w:eastAsiaTheme="minorEastAsia"/>
          <w:sz w:val="28"/>
          <w:szCs w:val="28"/>
          <w:highlight w:val="none"/>
        </w:rPr>
        <w:t xml:space="preserve">о назначении 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  <w:t xml:space="preserve">социального пособия на погребение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center"/>
        <w:widowControl w:val="off"/>
        <w:rPr>
          <w:rFonts w:ascii="Courier New" w:hAnsi="Courier New" w:cs="Courier New" w:eastAsiaTheme="minorEastAsia"/>
          <w:sz w:val="20"/>
          <w:szCs w:val="20"/>
          <w:highlight w:val="none"/>
        </w:rPr>
      </w:pPr>
      <w:r>
        <w:rPr>
          <w:rFonts w:ascii="Courier New" w:hAnsi="Courier New" w:cs="Courier New" w:eastAsiaTheme="minorEastAsia"/>
          <w:sz w:val="28"/>
          <w:szCs w:val="28"/>
          <w:highlight w:val="none"/>
        </w:rPr>
      </w:r>
      <w:r>
        <w:rPr>
          <w:rFonts w:ascii="Courier New" w:hAnsi="Courier New" w:cs="Courier New" w:eastAsiaTheme="minorEastAsia"/>
          <w:sz w:val="20"/>
          <w:szCs w:val="20"/>
          <w:highlight w:val="none"/>
        </w:rPr>
      </w:r>
      <w:r>
        <w:rPr>
          <w:rFonts w:ascii="Courier New" w:hAnsi="Courier New" w:cs="Courier New" w:eastAsiaTheme="minorEastAsia"/>
          <w:sz w:val="20"/>
          <w:szCs w:val="20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(наименование органа, уполномоченного на принятие решения)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(фамилия, имя, отчество (при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наличии), статус заявителя)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(дата рождения заявителя)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(СНИЛ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С заявителя (при наличии)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(адрес регистрации по месту жительства или месту пребывания заявителя)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(фамилия, имя, отчество (при наличии) умершего)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(дата рождения умершего)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(СНИЛС умершего (при наличии)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(адрес регистрации по месту жительства или месту пребывания заявителя)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left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№ ____ от «__» ________ 20__ г.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 результатам расс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мотрения заявления о назначении социального пособия на погребение или получении выписки о выборе получения услуг,предоставляемых согласно гарантированному перечню услуг по погребению, от «__» ________  20__ г. № ___ и прилагаемых к нему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ведений (документов)принято решение  о  назначении и выплате социального пособия на погребение гражданину (гражданке)______________________________________________________________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(фамилия, имя, отчество (при наличии)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размер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 ______ руб. ____ коп.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45"/>
        <w:gridCol w:w="1575"/>
        <w:gridCol w:w="3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4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  <w:t xml:space="preserve">Должность сотрудника органа, уполномоченного на принятие решения</w:t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  <w:t xml:space="preserve">Сведения об электронной подписи</w:t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</w:tr>
    </w:tbl>
    <w:p>
      <w:pPr>
        <w:shd w:val="nil" w:color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br w:type="page" w:clear="all"/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№ 7</w:t>
      </w:r>
      <w:r>
        <w:rPr>
          <w:color w:val="000000" w:themeColor="text1"/>
          <w:sz w:val="28"/>
          <w:szCs w:val="28"/>
          <w:highlight w:val="none"/>
        </w:rPr>
        <w:t xml:space="preserve"> к 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Административному регламенту предоставления государственной услуги по назначению социального пособия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 погребение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(форма утверждена </w:t>
      </w:r>
      <w:r>
        <w:rPr>
          <w:color w:val="000000" w:themeColor="text1"/>
          <w:sz w:val="28"/>
          <w:szCs w:val="28"/>
          <w:highlight w:val="none"/>
        </w:rPr>
        <w:t xml:space="preserve">Постановлением Правительства РФ от 20.06.2024 № 830 «О едином стандарте предоставления государственной услуги по назначению социального пособия на погребение»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left="6236" w:right="0" w:firstLine="0"/>
        <w:jc w:val="both"/>
        <w:spacing w:line="288" w:lineRule="atLeast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jc w:val="center"/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РЕШЕНИЕ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об отказе в назначении социального пособия на погребение или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в предоставлении выписки о выборе получения услуг,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предоставляемых согласно гарантированному перечню услуг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по погребению</w:t>
      </w:r>
      <w:r>
        <w:rPr>
          <w:highlight w:val="none"/>
        </w:rPr>
      </w:r>
      <w:r>
        <w:rPr>
          <w:highlight w:val="none"/>
        </w:rPr>
      </w:r>
    </w:p>
    <w:p>
      <w:pPr>
        <w:shd w:val="nil" w:color="000000"/>
        <w:rPr>
          <w:highlight w:val="none"/>
        </w:rPr>
      </w:pPr>
      <w:r>
        <w:rPr>
          <w:sz w:val="28"/>
          <w:szCs w:val="28"/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(наименование органа, уполномоченного на принятие решения)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        </w:t>
      </w:r>
      <w:r>
        <w:rPr>
          <w:sz w:val="24"/>
          <w:szCs w:val="24"/>
          <w:highlight w:val="none"/>
        </w:rPr>
        <w:t xml:space="preserve">(фамилия, имя, отчество (при н</w:t>
      </w:r>
      <w:r>
        <w:rPr>
          <w:sz w:val="24"/>
          <w:szCs w:val="24"/>
          <w:highlight w:val="none"/>
        </w:rPr>
        <w:t xml:space="preserve">аличии), статус заявителя)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                     </w:t>
      </w:r>
      <w:r>
        <w:rPr>
          <w:sz w:val="24"/>
          <w:szCs w:val="24"/>
          <w:highlight w:val="none"/>
        </w:rPr>
        <w:t xml:space="preserve">(дата рождения заявителя)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                    </w:t>
      </w:r>
      <w:r>
        <w:rPr>
          <w:sz w:val="24"/>
          <w:szCs w:val="24"/>
          <w:highlight w:val="none"/>
        </w:rPr>
        <w:t xml:space="preserve">(СНИЛС з</w:t>
      </w:r>
      <w:r>
        <w:rPr>
          <w:sz w:val="24"/>
          <w:szCs w:val="24"/>
          <w:highlight w:val="none"/>
        </w:rPr>
        <w:t xml:space="preserve">аявителя (при наличии)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  (адрес регистрации по месту жительства или месту пребывания заявителя)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(фамилия, имя, отчество (при наличии) умершего)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                </w:t>
      </w:r>
      <w:r>
        <w:rPr>
          <w:sz w:val="24"/>
          <w:szCs w:val="24"/>
          <w:highlight w:val="none"/>
        </w:rPr>
        <w:t xml:space="preserve">(дата рождения умершего)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sz w:val="28"/>
          <w:szCs w:val="28"/>
          <w:highlight w:val="none"/>
        </w:rPr>
        <w:t xml:space="preserve">          </w:t>
      </w:r>
      <w:r>
        <w:rPr>
          <w:sz w:val="24"/>
          <w:szCs w:val="24"/>
          <w:highlight w:val="none"/>
        </w:rPr>
        <w:t xml:space="preserve">(СНИЛС умершего (при наличии)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  </w:t>
      </w:r>
      <w:r>
        <w:rPr>
          <w:sz w:val="24"/>
          <w:szCs w:val="24"/>
          <w:highlight w:val="none"/>
        </w:rPr>
        <w:t xml:space="preserve">(адрес регистрации по месту жительства или месту пребывания заявителя)  </w:t>
      </w:r>
      <w:r>
        <w:rPr>
          <w:sz w:val="28"/>
          <w:szCs w:val="28"/>
          <w:highlight w:val="none"/>
        </w:rPr>
        <w:t xml:space="preserve">            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left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№ ____ от «__» ________ 20__ г.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hd w:val="nil" w:color="000000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</w:t>
      </w:r>
      <w:r>
        <w:rPr>
          <w:sz w:val="28"/>
          <w:szCs w:val="28"/>
          <w:highlight w:val="none"/>
        </w:rPr>
        <w:t xml:space="preserve">рез</w:t>
      </w:r>
      <w:r>
        <w:rPr>
          <w:sz w:val="28"/>
          <w:szCs w:val="28"/>
          <w:highlight w:val="none"/>
        </w:rPr>
        <w:t xml:space="preserve">ультатам рассмотрения заявления о назначении социального пособия на погребение или получении выписки о выборе получения услуг,предоставляемых согласно гарантированному перечню услуг по погребению, от «__» ________ 20__  г. № ____ и прилагае</w:t>
      </w:r>
      <w:r>
        <w:rPr>
          <w:sz w:val="28"/>
          <w:szCs w:val="28"/>
          <w:highlight w:val="none"/>
        </w:rPr>
        <w:t xml:space="preserve">мых к нему сведений (документов) принято решение об отказе в назначении социального пособия на погребение или в предоставлении выписки о выборе получения услуг, предоставляемых согласно гарантированному  перечню услуг по погребению, по следующим </w:t>
      </w:r>
      <w:r>
        <w:rPr>
          <w:sz w:val="28"/>
          <w:szCs w:val="28"/>
          <w:highlight w:val="none"/>
        </w:rPr>
        <w:t xml:space="preserve">основаниям:______________________________________________________________________________________________________________________________________.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Заявитель вправе повторно обратиться с заявлением о назначении социального пособия </w:t>
      </w:r>
      <w:r>
        <w:rPr>
          <w:sz w:val="28"/>
          <w:szCs w:val="28"/>
          <w:highlight w:val="none"/>
        </w:rPr>
        <w:t xml:space="preserve">на погребение или получении выписки о выборе получения услуг, предоставляемых согласно гарантированному перечню услуг по погребению, после устранения указанных оснований &lt;1&gt;, послуживших причиной отказа, в территориальный орган Фонда пенсионного и с</w:t>
      </w:r>
      <w:r>
        <w:rPr>
          <w:sz w:val="28"/>
          <w:szCs w:val="28"/>
          <w:highlight w:val="none"/>
        </w:rPr>
        <w:t xml:space="preserve">оциального страхования Российской Федерации.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244"/>
        <w:gridCol w:w="1176"/>
        <w:gridCol w:w="3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  <w:t xml:space="preserve">Должность сотрудника органа, уполномоченного на принятие решения</w:t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32"/>
                <w:szCs w:val="32"/>
                <w:highlight w:val="none"/>
              </w:rPr>
            </w:pPr>
            <w:r>
              <w:rPr>
                <w:rFonts w:eastAsiaTheme="minorEastAsia"/>
                <w:sz w:val="28"/>
                <w:szCs w:val="28"/>
                <w:highlight w:val="none"/>
              </w:rPr>
              <w:t xml:space="preserve">Сведения об электронной подписи</w:t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  <w:r>
              <w:rPr>
                <w:rFonts w:eastAsiaTheme="minorEastAsia"/>
                <w:sz w:val="32"/>
                <w:szCs w:val="32"/>
                <w:highlight w:val="none"/>
              </w:rPr>
            </w:r>
          </w:p>
        </w:tc>
      </w:tr>
    </w:tbl>
    <w:p>
      <w:pPr>
        <w:ind w:left="0" w:right="0" w:firstLine="0"/>
        <w:jc w:val="both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10"/>
      <w:footnotePr/>
      <w:endnotePr/>
      <w:type w:val="nextPage"/>
      <w:pgSz w:w="11906" w:h="16838" w:orient="portrait"/>
      <w:pgMar w:top="1134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29"/>
      </w:pPr>
      <w:r>
        <w:rPr>
          <w:rStyle w:val="931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Сведения о степени родства, указываемые заявителем, не влияют на принятие решение о назначении или отказе в назначении социального пособия на погребение или предоставлении выписки о выборе получения услуг, предоставляемых согласно гарантированному перечню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услуг по погребению</w:t>
      </w:r>
      <w:r/>
    </w:p>
  </w:footnote>
  <w:footnote w:id="3">
    <w:p>
      <w:pPr>
        <w:pStyle w:val="929"/>
      </w:pPr>
      <w:r>
        <w:rPr>
          <w:rStyle w:val="931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Указаны в свидетельстве о государственной регистрации смерти</w:t>
      </w:r>
      <w:r/>
    </w:p>
  </w:footnote>
  <w:footnote w:id="4">
    <w:p>
      <w:pPr>
        <w:pStyle w:val="929"/>
      </w:pPr>
      <w:r>
        <w:rPr>
          <w:rStyle w:val="931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Обязательному представлению заявителем подлежит представление документа о смерти, выданного компетентным органом иностранного государства, если в заявлении указано об обращении за выплатой социального пособия на погребение лица, которое умерло на территори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и иностранного государства, смерть которого зарегистрирована компетентным органом иностранного государства</w:t>
      </w:r>
      <w:r/>
    </w:p>
  </w:footnote>
  <w:footnote w:id="5">
    <w:p>
      <w:pPr>
        <w:pStyle w:val="929"/>
        <w:jc w:val="both"/>
      </w:pPr>
      <w:r>
        <w:rPr>
          <w:rStyle w:val="931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При авторизации заявителя в федеральной государственной информационной системе «Единый портал государственных и муниципальных услуг (функций)» в личный кабинет заявителя в федеральной государственной информационной системе «Единый портал государственных и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муниципальных услуг (функций)» направляется информация о ходе предоставления государственной услуги по назначению социального пособия на погребение и результате предоставления государственной услуги по назначению социального пособия на погребение независим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о от выбранного способа информирования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7" w:hanging="360"/>
      </w:pPr>
      <w:rPr>
        <w:rFonts w:ascii="Times New Roman" w:hAnsi="Times New Roman" w:eastAsia="SimSu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997" w:hanging="72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997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357" w:hanging="108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717" w:hanging="144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3077" w:hanging="180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77" w:hanging="180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437" w:hanging="2160"/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44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="Times New Roman"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9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="Times New Roman"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6"/>
  </w:num>
  <w:num w:numId="5">
    <w:abstractNumId w:val="17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12"/>
  </w:num>
  <w:num w:numId="14">
    <w:abstractNumId w:val="15"/>
  </w:num>
  <w:num w:numId="15">
    <w:abstractNumId w:val="14"/>
  </w:num>
  <w:num w:numId="16">
    <w:abstractNumId w:val="8"/>
  </w:num>
  <w:num w:numId="17">
    <w:abstractNumId w:val="11"/>
  </w:num>
  <w:num w:numId="18">
    <w:abstractNumId w:val="4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4">
    <w:name w:val="Heading 1 Char"/>
    <w:basedOn w:val="948"/>
    <w:link w:val="947"/>
    <w:uiPriority w:val="9"/>
    <w:rPr>
      <w:rFonts w:ascii="Arial" w:hAnsi="Arial" w:eastAsia="Arial" w:cs="Arial"/>
      <w:sz w:val="40"/>
      <w:szCs w:val="40"/>
    </w:rPr>
  </w:style>
  <w:style w:type="paragraph" w:styleId="775">
    <w:name w:val="Heading 2"/>
    <w:basedOn w:val="946"/>
    <w:next w:val="946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6">
    <w:name w:val="Heading 2 Char"/>
    <w:basedOn w:val="948"/>
    <w:link w:val="775"/>
    <w:uiPriority w:val="9"/>
    <w:rPr>
      <w:rFonts w:ascii="Arial" w:hAnsi="Arial" w:eastAsia="Arial" w:cs="Arial"/>
      <w:sz w:val="34"/>
    </w:rPr>
  </w:style>
  <w:style w:type="paragraph" w:styleId="777">
    <w:name w:val="Heading 3"/>
    <w:basedOn w:val="946"/>
    <w:next w:val="946"/>
    <w:link w:val="7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8">
    <w:name w:val="Heading 3 Char"/>
    <w:basedOn w:val="948"/>
    <w:link w:val="777"/>
    <w:uiPriority w:val="9"/>
    <w:rPr>
      <w:rFonts w:ascii="Arial" w:hAnsi="Arial" w:eastAsia="Arial" w:cs="Arial"/>
      <w:sz w:val="30"/>
      <w:szCs w:val="30"/>
    </w:rPr>
  </w:style>
  <w:style w:type="paragraph" w:styleId="779">
    <w:name w:val="Heading 4"/>
    <w:basedOn w:val="946"/>
    <w:next w:val="946"/>
    <w:link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0">
    <w:name w:val="Heading 4 Char"/>
    <w:basedOn w:val="948"/>
    <w:link w:val="779"/>
    <w:uiPriority w:val="9"/>
    <w:rPr>
      <w:rFonts w:ascii="Arial" w:hAnsi="Arial" w:eastAsia="Arial" w:cs="Arial"/>
      <w:b/>
      <w:bCs/>
      <w:sz w:val="26"/>
      <w:szCs w:val="26"/>
    </w:rPr>
  </w:style>
  <w:style w:type="paragraph" w:styleId="781">
    <w:name w:val="Heading 5"/>
    <w:basedOn w:val="946"/>
    <w:next w:val="946"/>
    <w:link w:val="7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2">
    <w:name w:val="Heading 5 Char"/>
    <w:basedOn w:val="948"/>
    <w:link w:val="781"/>
    <w:uiPriority w:val="9"/>
    <w:rPr>
      <w:rFonts w:ascii="Arial" w:hAnsi="Arial" w:eastAsia="Arial" w:cs="Arial"/>
      <w:b/>
      <w:bCs/>
      <w:sz w:val="24"/>
      <w:szCs w:val="24"/>
    </w:rPr>
  </w:style>
  <w:style w:type="paragraph" w:styleId="783">
    <w:name w:val="Heading 6"/>
    <w:basedOn w:val="946"/>
    <w:next w:val="946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4">
    <w:name w:val="Heading 6 Char"/>
    <w:basedOn w:val="948"/>
    <w:link w:val="783"/>
    <w:uiPriority w:val="9"/>
    <w:rPr>
      <w:rFonts w:ascii="Arial" w:hAnsi="Arial" w:eastAsia="Arial" w:cs="Arial"/>
      <w:b/>
      <w:bCs/>
      <w:sz w:val="22"/>
      <w:szCs w:val="22"/>
    </w:rPr>
  </w:style>
  <w:style w:type="paragraph" w:styleId="785">
    <w:name w:val="Heading 7"/>
    <w:basedOn w:val="946"/>
    <w:next w:val="946"/>
    <w:link w:val="7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6">
    <w:name w:val="Heading 7 Char"/>
    <w:basedOn w:val="948"/>
    <w:link w:val="7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7">
    <w:name w:val="Heading 8"/>
    <w:basedOn w:val="946"/>
    <w:next w:val="946"/>
    <w:link w:val="7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8">
    <w:name w:val="Heading 8 Char"/>
    <w:basedOn w:val="948"/>
    <w:link w:val="787"/>
    <w:uiPriority w:val="9"/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946"/>
    <w:next w:val="946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9 Char"/>
    <w:basedOn w:val="948"/>
    <w:link w:val="789"/>
    <w:uiPriority w:val="9"/>
    <w:rPr>
      <w:rFonts w:ascii="Arial" w:hAnsi="Arial" w:eastAsia="Arial" w:cs="Arial"/>
      <w:i/>
      <w:iCs/>
      <w:sz w:val="21"/>
      <w:szCs w:val="21"/>
    </w:rPr>
  </w:style>
  <w:style w:type="paragraph" w:styleId="791">
    <w:name w:val="No Spacing"/>
    <w:uiPriority w:val="1"/>
    <w:qFormat/>
    <w:pPr>
      <w:spacing w:before="0" w:after="0" w:line="240" w:lineRule="auto"/>
    </w:pPr>
  </w:style>
  <w:style w:type="paragraph" w:styleId="792">
    <w:name w:val="Title"/>
    <w:basedOn w:val="946"/>
    <w:next w:val="946"/>
    <w:link w:val="7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3">
    <w:name w:val="Title Char"/>
    <w:basedOn w:val="948"/>
    <w:link w:val="792"/>
    <w:uiPriority w:val="10"/>
    <w:rPr>
      <w:sz w:val="48"/>
      <w:szCs w:val="48"/>
    </w:rPr>
  </w:style>
  <w:style w:type="paragraph" w:styleId="794">
    <w:name w:val="Subtitle"/>
    <w:basedOn w:val="946"/>
    <w:next w:val="946"/>
    <w:link w:val="795"/>
    <w:uiPriority w:val="11"/>
    <w:qFormat/>
    <w:pPr>
      <w:spacing w:before="200" w:after="200"/>
    </w:pPr>
    <w:rPr>
      <w:sz w:val="24"/>
      <w:szCs w:val="24"/>
    </w:rPr>
  </w:style>
  <w:style w:type="character" w:styleId="795">
    <w:name w:val="Subtitle Char"/>
    <w:basedOn w:val="948"/>
    <w:link w:val="794"/>
    <w:uiPriority w:val="11"/>
    <w:rPr>
      <w:sz w:val="24"/>
      <w:szCs w:val="24"/>
    </w:rPr>
  </w:style>
  <w:style w:type="paragraph" w:styleId="796">
    <w:name w:val="Quote"/>
    <w:basedOn w:val="946"/>
    <w:next w:val="946"/>
    <w:link w:val="797"/>
    <w:uiPriority w:val="29"/>
    <w:qFormat/>
    <w:pPr>
      <w:ind w:left="720" w:right="720"/>
    </w:pPr>
    <w:rPr>
      <w:i/>
    </w:rPr>
  </w:style>
  <w:style w:type="character" w:styleId="797">
    <w:name w:val="Quote Char"/>
    <w:link w:val="796"/>
    <w:uiPriority w:val="29"/>
    <w:rPr>
      <w:i/>
    </w:rPr>
  </w:style>
  <w:style w:type="paragraph" w:styleId="798">
    <w:name w:val="Intense Quote"/>
    <w:basedOn w:val="946"/>
    <w:next w:val="946"/>
    <w:link w:val="7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9">
    <w:name w:val="Intense Quote Char"/>
    <w:link w:val="798"/>
    <w:uiPriority w:val="30"/>
    <w:rPr>
      <w:i/>
    </w:rPr>
  </w:style>
  <w:style w:type="character" w:styleId="800">
    <w:name w:val="Header Char"/>
    <w:basedOn w:val="948"/>
    <w:link w:val="952"/>
    <w:uiPriority w:val="99"/>
  </w:style>
  <w:style w:type="character" w:styleId="801">
    <w:name w:val="Footer Char"/>
    <w:basedOn w:val="948"/>
    <w:link w:val="971"/>
    <w:uiPriority w:val="99"/>
  </w:style>
  <w:style w:type="paragraph" w:styleId="802">
    <w:name w:val="Caption"/>
    <w:basedOn w:val="946"/>
    <w:next w:val="946"/>
    <w:link w:val="8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3">
    <w:name w:val="Caption Char"/>
    <w:basedOn w:val="948"/>
    <w:link w:val="802"/>
    <w:uiPriority w:val="35"/>
    <w:rPr>
      <w:b/>
      <w:bCs/>
      <w:color w:val="4f81bd" w:themeColor="accent1"/>
      <w:sz w:val="18"/>
      <w:szCs w:val="18"/>
    </w:rPr>
  </w:style>
  <w:style w:type="table" w:styleId="804">
    <w:name w:val="Table Grid Light"/>
    <w:basedOn w:val="9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Plain Table 1"/>
    <w:basedOn w:val="9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basedOn w:val="9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>
    <w:name w:val="Grid Table 4 - Accent 1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3">
    <w:name w:val="Grid Table 4 - Accent 2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Grid Table 4 - Accent 3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5">
    <w:name w:val="Grid Table 4 - Accent 4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Grid Table 4 - Accent 5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7">
    <w:name w:val="Grid Table 4 - Accent 6"/>
    <w:basedOn w:val="9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8">
    <w:name w:val="Grid Table 5 Dark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5">
    <w:name w:val="Grid Table 6 Colorful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6">
    <w:name w:val="Grid Table 6 Colorful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7">
    <w:name w:val="Grid Table 6 Colorful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8">
    <w:name w:val="Grid Table 6 Colorful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9">
    <w:name w:val="Grid Table 6 Colorful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0">
    <w:name w:val="Grid Table 6 Colorful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1">
    <w:name w:val="Grid Table 6 Colorful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7 Colorful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7">
    <w:name w:val="List Table 2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8">
    <w:name w:val="List Table 2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9">
    <w:name w:val="List Table 2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0">
    <w:name w:val="List Table 2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1">
    <w:name w:val="List Table 2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2">
    <w:name w:val="List Table 2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6 Colorful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5">
    <w:name w:val="List Table 6 Colorful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6">
    <w:name w:val="List Table 6 Colorful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7">
    <w:name w:val="List Table 6 Colorful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8">
    <w:name w:val="List Table 6 Colorful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9">
    <w:name w:val="List Table 6 Colorful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0">
    <w:name w:val="List Table 6 Colorful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1">
    <w:name w:val="List Table 7 Colorful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2">
    <w:name w:val="List Table 7 Colorful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3">
    <w:name w:val="List Table 7 Colorful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4">
    <w:name w:val="List Table 7 Colorful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5">
    <w:name w:val="List Table 7 Colorful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6">
    <w:name w:val="List Table 7 Colorful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7">
    <w:name w:val="List Table 7 Colorful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8">
    <w:name w:val="Lined - Accent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Lined - Accent 1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Lined - Accent 2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Lined - Accent 3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Lined - Accent 4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Lined - Accent 5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Lined - Accent 6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 &amp; Lined - Accent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Bordered &amp; Lined - Accent 1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Bordered &amp; Lined - Accent 2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Bordered &amp; Lined - Accent 3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Bordered &amp; Lined - Accent 4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Bordered &amp; Lined - Accent 5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Bordered &amp; Lined - Accent 6"/>
    <w:basedOn w:val="9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3">
    <w:name w:val="Bordered - Accent 1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4">
    <w:name w:val="Bordered - Accent 2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5">
    <w:name w:val="Bordered - Accent 3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6">
    <w:name w:val="Bordered - Accent 4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7">
    <w:name w:val="Bordered - Accent 5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8">
    <w:name w:val="Bordered - Accent 6"/>
    <w:basedOn w:val="9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9">
    <w:name w:val="footnote text"/>
    <w:basedOn w:val="946"/>
    <w:link w:val="930"/>
    <w:uiPriority w:val="99"/>
    <w:semiHidden/>
    <w:unhideWhenUsed/>
    <w:pPr>
      <w:spacing w:after="40" w:line="240" w:lineRule="auto"/>
    </w:pPr>
    <w:rPr>
      <w:sz w:val="18"/>
    </w:rPr>
  </w:style>
  <w:style w:type="character" w:styleId="930">
    <w:name w:val="Footnote Text Char"/>
    <w:link w:val="929"/>
    <w:uiPriority w:val="99"/>
    <w:rPr>
      <w:sz w:val="18"/>
    </w:rPr>
  </w:style>
  <w:style w:type="character" w:styleId="931">
    <w:name w:val="footnote reference"/>
    <w:basedOn w:val="948"/>
    <w:uiPriority w:val="99"/>
    <w:unhideWhenUsed/>
    <w:rPr>
      <w:vertAlign w:val="superscript"/>
    </w:rPr>
  </w:style>
  <w:style w:type="paragraph" w:styleId="932">
    <w:name w:val="endnote text"/>
    <w:basedOn w:val="946"/>
    <w:link w:val="933"/>
    <w:uiPriority w:val="99"/>
    <w:semiHidden/>
    <w:unhideWhenUsed/>
    <w:pPr>
      <w:spacing w:after="0" w:line="240" w:lineRule="auto"/>
    </w:pPr>
    <w:rPr>
      <w:sz w:val="20"/>
    </w:rPr>
  </w:style>
  <w:style w:type="character" w:styleId="933">
    <w:name w:val="Endnote Text Char"/>
    <w:link w:val="932"/>
    <w:uiPriority w:val="99"/>
    <w:rPr>
      <w:sz w:val="20"/>
    </w:rPr>
  </w:style>
  <w:style w:type="character" w:styleId="934">
    <w:name w:val="endnote reference"/>
    <w:basedOn w:val="948"/>
    <w:uiPriority w:val="99"/>
    <w:semiHidden/>
    <w:unhideWhenUsed/>
    <w:rPr>
      <w:vertAlign w:val="superscript"/>
    </w:rPr>
  </w:style>
  <w:style w:type="paragraph" w:styleId="935">
    <w:name w:val="toc 1"/>
    <w:basedOn w:val="946"/>
    <w:next w:val="946"/>
    <w:uiPriority w:val="39"/>
    <w:unhideWhenUsed/>
    <w:pPr>
      <w:ind w:left="0" w:right="0" w:firstLine="0"/>
      <w:spacing w:after="57"/>
    </w:pPr>
  </w:style>
  <w:style w:type="paragraph" w:styleId="936">
    <w:name w:val="toc 2"/>
    <w:basedOn w:val="946"/>
    <w:next w:val="946"/>
    <w:uiPriority w:val="39"/>
    <w:unhideWhenUsed/>
    <w:pPr>
      <w:ind w:left="283" w:right="0" w:firstLine="0"/>
      <w:spacing w:after="57"/>
    </w:pPr>
  </w:style>
  <w:style w:type="paragraph" w:styleId="937">
    <w:name w:val="toc 3"/>
    <w:basedOn w:val="946"/>
    <w:next w:val="946"/>
    <w:uiPriority w:val="39"/>
    <w:unhideWhenUsed/>
    <w:pPr>
      <w:ind w:left="567" w:right="0" w:firstLine="0"/>
      <w:spacing w:after="57"/>
    </w:pPr>
  </w:style>
  <w:style w:type="paragraph" w:styleId="938">
    <w:name w:val="toc 4"/>
    <w:basedOn w:val="946"/>
    <w:next w:val="946"/>
    <w:uiPriority w:val="39"/>
    <w:unhideWhenUsed/>
    <w:pPr>
      <w:ind w:left="850" w:right="0" w:firstLine="0"/>
      <w:spacing w:after="57"/>
    </w:pPr>
  </w:style>
  <w:style w:type="paragraph" w:styleId="939">
    <w:name w:val="toc 5"/>
    <w:basedOn w:val="946"/>
    <w:next w:val="946"/>
    <w:uiPriority w:val="39"/>
    <w:unhideWhenUsed/>
    <w:pPr>
      <w:ind w:left="1134" w:right="0" w:firstLine="0"/>
      <w:spacing w:after="57"/>
    </w:pPr>
  </w:style>
  <w:style w:type="paragraph" w:styleId="940">
    <w:name w:val="toc 6"/>
    <w:basedOn w:val="946"/>
    <w:next w:val="946"/>
    <w:uiPriority w:val="39"/>
    <w:unhideWhenUsed/>
    <w:pPr>
      <w:ind w:left="1417" w:right="0" w:firstLine="0"/>
      <w:spacing w:after="57"/>
    </w:pPr>
  </w:style>
  <w:style w:type="paragraph" w:styleId="941">
    <w:name w:val="toc 7"/>
    <w:basedOn w:val="946"/>
    <w:next w:val="946"/>
    <w:uiPriority w:val="39"/>
    <w:unhideWhenUsed/>
    <w:pPr>
      <w:ind w:left="1701" w:right="0" w:firstLine="0"/>
      <w:spacing w:after="57"/>
    </w:pPr>
  </w:style>
  <w:style w:type="paragraph" w:styleId="942">
    <w:name w:val="toc 8"/>
    <w:basedOn w:val="946"/>
    <w:next w:val="946"/>
    <w:uiPriority w:val="39"/>
    <w:unhideWhenUsed/>
    <w:pPr>
      <w:ind w:left="1984" w:right="0" w:firstLine="0"/>
      <w:spacing w:after="57"/>
    </w:pPr>
  </w:style>
  <w:style w:type="paragraph" w:styleId="943">
    <w:name w:val="toc 9"/>
    <w:basedOn w:val="946"/>
    <w:next w:val="946"/>
    <w:uiPriority w:val="39"/>
    <w:unhideWhenUsed/>
    <w:pPr>
      <w:ind w:left="2268" w:right="0" w:firstLine="0"/>
      <w:spacing w:after="57"/>
    </w:pPr>
  </w:style>
  <w:style w:type="paragraph" w:styleId="944">
    <w:name w:val="TOC Heading"/>
    <w:uiPriority w:val="39"/>
    <w:unhideWhenUsed/>
  </w:style>
  <w:style w:type="paragraph" w:styleId="945">
    <w:name w:val="table of figures"/>
    <w:basedOn w:val="946"/>
    <w:next w:val="946"/>
    <w:uiPriority w:val="99"/>
    <w:unhideWhenUsed/>
    <w:pPr>
      <w:spacing w:after="0" w:afterAutospacing="0"/>
    </w:pPr>
  </w:style>
  <w:style w:type="paragraph" w:styleId="946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47">
    <w:name w:val="Heading 1"/>
    <w:basedOn w:val="946"/>
    <w:next w:val="946"/>
    <w:link w:val="964"/>
    <w:qFormat/>
    <w:pPr>
      <w:jc w:val="both"/>
      <w:keepNext/>
      <w:outlineLvl w:val="0"/>
    </w:pPr>
    <w:rPr>
      <w:b/>
      <w:sz w:val="28"/>
      <w:szCs w:val="20"/>
      <w:lang w:eastAsia="zh-CN"/>
    </w:rPr>
  </w:style>
  <w:style w:type="character" w:styleId="948" w:default="1">
    <w:name w:val="Default Paragraph Font"/>
    <w:uiPriority w:val="1"/>
    <w:unhideWhenUsed/>
  </w:style>
  <w:style w:type="table" w:styleId="9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0" w:default="1">
    <w:name w:val="No List"/>
    <w:uiPriority w:val="99"/>
    <w:semiHidden/>
    <w:unhideWhenUsed/>
  </w:style>
  <w:style w:type="paragraph" w:styleId="951" w:customStyle="1">
    <w:name w:val="ConsPlusNormal"/>
    <w:link w:val="956"/>
    <w:pPr>
      <w:ind w:firstLine="720"/>
    </w:pPr>
    <w:rPr>
      <w:rFonts w:ascii="Arial" w:hAnsi="Arial"/>
      <w:sz w:val="22"/>
      <w:szCs w:val="22"/>
    </w:rPr>
  </w:style>
  <w:style w:type="paragraph" w:styleId="952">
    <w:name w:val="Header"/>
    <w:basedOn w:val="946"/>
    <w:link w:val="953"/>
    <w:uiPriority w:val="99"/>
    <w:pPr>
      <w:tabs>
        <w:tab w:val="center" w:pos="4677" w:leader="none"/>
        <w:tab w:val="right" w:pos="9355" w:leader="none"/>
      </w:tabs>
    </w:pPr>
  </w:style>
  <w:style w:type="character" w:styleId="953" w:customStyle="1">
    <w:name w:val="Верхний колонтитул Знак"/>
    <w:link w:val="952"/>
    <w:uiPriority w:val="99"/>
    <w:rPr>
      <w:rFonts w:ascii="Times New Roman" w:hAnsi="Times New Roman" w:cs="Times New Roman"/>
      <w:sz w:val="24"/>
      <w:szCs w:val="24"/>
    </w:rPr>
  </w:style>
  <w:style w:type="paragraph" w:styleId="954" w:customStyle="1">
    <w:name w:val="ConsPlusTitle"/>
    <w:qFormat/>
    <w:rPr>
      <w:rFonts w:ascii="Arial" w:hAnsi="Arial" w:eastAsia="SimSun" w:cs="Arial"/>
      <w:b/>
      <w:bCs/>
      <w:lang w:eastAsia="zh-CN"/>
    </w:rPr>
  </w:style>
  <w:style w:type="paragraph" w:styleId="955">
    <w:name w:val="List Paragraph"/>
    <w:basedOn w:val="946"/>
    <w:uiPriority w:val="34"/>
    <w:qFormat/>
    <w:pPr>
      <w:contextualSpacing/>
      <w:ind w:left="720"/>
    </w:pPr>
  </w:style>
  <w:style w:type="character" w:styleId="956" w:customStyle="1">
    <w:name w:val="ConsPlusNormal Знак"/>
    <w:link w:val="951"/>
    <w:rPr>
      <w:rFonts w:ascii="Arial" w:hAnsi="Arial"/>
      <w:sz w:val="22"/>
      <w:lang w:eastAsia="ru-RU"/>
    </w:rPr>
  </w:style>
  <w:style w:type="paragraph" w:styleId="957">
    <w:name w:val="Balloon Text"/>
    <w:basedOn w:val="946"/>
    <w:link w:val="958"/>
    <w:uiPriority w:val="99"/>
    <w:semiHidden/>
    <w:rPr>
      <w:rFonts w:ascii="Tahoma" w:hAnsi="Tahoma"/>
      <w:sz w:val="16"/>
      <w:szCs w:val="16"/>
    </w:rPr>
  </w:style>
  <w:style w:type="character" w:styleId="958" w:customStyle="1">
    <w:name w:val="Текст выноски Знак"/>
    <w:link w:val="957"/>
    <w:uiPriority w:val="99"/>
    <w:semiHidden/>
    <w:rPr>
      <w:rFonts w:ascii="Tahoma" w:hAnsi="Tahoma" w:cs="Times New Roman"/>
      <w:sz w:val="16"/>
      <w:szCs w:val="16"/>
    </w:rPr>
  </w:style>
  <w:style w:type="paragraph" w:styleId="959" w:customStyle="1">
    <w:name w:val="ConsPlusCell"/>
    <w:pPr>
      <w:widowControl w:val="off"/>
    </w:pPr>
    <w:rPr>
      <w:rFonts w:ascii="Courier New" w:hAnsi="Courier New" w:eastAsia="Times New Roman" w:cs="Courier New"/>
    </w:rPr>
  </w:style>
  <w:style w:type="paragraph" w:styleId="960" w:customStyle="1">
    <w:name w:val="Обычный1"/>
    <w:pPr>
      <w:widowControl w:val="off"/>
    </w:pPr>
    <w:rPr>
      <w:rFonts w:ascii="Times New Roman" w:hAnsi="Times New Roman" w:eastAsia="Times New Roman"/>
    </w:rPr>
  </w:style>
  <w:style w:type="character" w:styleId="961">
    <w:name w:val="annotation reference"/>
    <w:unhideWhenUsed/>
    <w:rPr>
      <w:sz w:val="16"/>
      <w:szCs w:val="16"/>
    </w:rPr>
  </w:style>
  <w:style w:type="paragraph" w:styleId="962">
    <w:name w:val="annotation text"/>
    <w:basedOn w:val="946"/>
    <w:link w:val="963"/>
    <w:uiPriority w:val="99"/>
    <w:unhideWhenUsed/>
    <w:rPr>
      <w:sz w:val="20"/>
      <w:szCs w:val="20"/>
    </w:rPr>
  </w:style>
  <w:style w:type="character" w:styleId="963" w:customStyle="1">
    <w:name w:val="Текст примечания Знак"/>
    <w:basedOn w:val="948"/>
    <w:link w:val="962"/>
    <w:uiPriority w:val="99"/>
    <w:rPr>
      <w:rFonts w:ascii="Times New Roman" w:hAnsi="Times New Roman" w:eastAsia="Times New Roman"/>
    </w:rPr>
  </w:style>
  <w:style w:type="character" w:styleId="964" w:customStyle="1">
    <w:name w:val="Заголовок 1 Знак"/>
    <w:basedOn w:val="948"/>
    <w:link w:val="947"/>
    <w:rPr>
      <w:rFonts w:ascii="Times New Roman" w:hAnsi="Times New Roman" w:eastAsia="Times New Roman"/>
      <w:b/>
      <w:sz w:val="28"/>
      <w:lang w:eastAsia="zh-CN"/>
    </w:rPr>
  </w:style>
  <w:style w:type="paragraph" w:styleId="965">
    <w:name w:val="annotation subject"/>
    <w:basedOn w:val="962"/>
    <w:next w:val="962"/>
    <w:link w:val="966"/>
    <w:uiPriority w:val="99"/>
    <w:semiHidden/>
    <w:unhideWhenUsed/>
    <w:rPr>
      <w:b/>
      <w:bCs/>
    </w:rPr>
  </w:style>
  <w:style w:type="character" w:styleId="966" w:customStyle="1">
    <w:name w:val="Тема примечания Знак"/>
    <w:basedOn w:val="963"/>
    <w:link w:val="965"/>
    <w:uiPriority w:val="99"/>
    <w:semiHidden/>
    <w:rPr>
      <w:rFonts w:ascii="Times New Roman" w:hAnsi="Times New Roman" w:eastAsia="Times New Roman"/>
      <w:b/>
      <w:bCs/>
    </w:rPr>
  </w:style>
  <w:style w:type="paragraph" w:styleId="967" w:customStyle="1">
    <w:name w:val="ConsPlusNonformat"/>
    <w:rPr>
      <w:rFonts w:ascii="Courier New" w:hAnsi="Courier New" w:eastAsia="Times New Roman" w:cs="Courier New"/>
    </w:rPr>
  </w:style>
  <w:style w:type="character" w:styleId="968">
    <w:name w:val="Hyperlink"/>
    <w:basedOn w:val="948"/>
    <w:uiPriority w:val="99"/>
    <w:unhideWhenUsed/>
    <w:rPr>
      <w:color w:val="0000ff" w:themeColor="hyperlink"/>
      <w:u w:val="single"/>
    </w:rPr>
  </w:style>
  <w:style w:type="paragraph" w:styleId="969" w:customStyle="1">
    <w:name w:val="Default"/>
    <w:rPr>
      <w:rFonts w:ascii="Times New Roman" w:hAnsi="Times New Roman" w:eastAsiaTheme="minorHAnsi"/>
      <w:color w:val="000000"/>
      <w:sz w:val="24"/>
      <w:szCs w:val="24"/>
      <w:lang w:eastAsia="en-US"/>
    </w:rPr>
  </w:style>
  <w:style w:type="paragraph" w:styleId="970">
    <w:name w:val="Revision"/>
    <w:hidden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971">
    <w:name w:val="Footer"/>
    <w:basedOn w:val="946"/>
    <w:link w:val="9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2" w:customStyle="1">
    <w:name w:val="Нижний колонтитул Знак"/>
    <w:basedOn w:val="948"/>
    <w:link w:val="971"/>
    <w:uiPriority w:val="99"/>
    <w:rPr>
      <w:rFonts w:ascii="Times New Roman" w:hAnsi="Times New Roman" w:eastAsia="Times New Roman"/>
      <w:sz w:val="24"/>
      <w:szCs w:val="24"/>
    </w:rPr>
  </w:style>
  <w:style w:type="numbering" w:styleId="973" w:customStyle="1">
    <w:name w:val="Нет списка1"/>
    <w:next w:val="950"/>
    <w:uiPriority w:val="99"/>
    <w:semiHidden/>
    <w:unhideWhenUsed/>
  </w:style>
  <w:style w:type="paragraph" w:styleId="974" w:customStyle="1">
    <w:name w:val="ConsPlusDocList"/>
    <w:pPr>
      <w:widowControl w:val="off"/>
    </w:pPr>
    <w:rPr>
      <w:rFonts w:ascii="Tahoma" w:hAnsi="Tahoma" w:cs="Tahoma" w:eastAsiaTheme="minorEastAsia"/>
      <w:sz w:val="18"/>
      <w:szCs w:val="22"/>
    </w:rPr>
  </w:style>
  <w:style w:type="paragraph" w:styleId="975" w:customStyle="1">
    <w:name w:val="ConsPlusTitlePage"/>
    <w:pPr>
      <w:widowControl w:val="off"/>
    </w:pPr>
    <w:rPr>
      <w:rFonts w:ascii="Tahoma" w:hAnsi="Tahoma" w:cs="Tahoma" w:eastAsiaTheme="minorEastAsia"/>
      <w:szCs w:val="22"/>
    </w:rPr>
  </w:style>
  <w:style w:type="paragraph" w:styleId="976" w:customStyle="1">
    <w:name w:val="ConsPlusJurTerm"/>
    <w:pPr>
      <w:widowControl w:val="off"/>
    </w:pPr>
    <w:rPr>
      <w:rFonts w:ascii="Tahoma" w:hAnsi="Tahoma" w:cs="Tahoma" w:eastAsiaTheme="minorEastAsia"/>
      <w:sz w:val="26"/>
      <w:szCs w:val="22"/>
    </w:rPr>
  </w:style>
  <w:style w:type="paragraph" w:styleId="977" w:customStyle="1">
    <w:name w:val="ConsPlusTextList"/>
    <w:pPr>
      <w:widowControl w:val="off"/>
    </w:pPr>
    <w:rPr>
      <w:rFonts w:ascii="Times New Roman" w:hAnsi="Times New Roman" w:eastAsiaTheme="minorEastAsia"/>
      <w:sz w:val="24"/>
      <w:szCs w:val="22"/>
    </w:rPr>
  </w:style>
  <w:style w:type="paragraph" w:styleId="978">
    <w:name w:val="Normal (Web)"/>
    <w:basedOn w:val="946"/>
    <w:uiPriority w:val="99"/>
    <w:unhideWhenUsed/>
    <w:pPr>
      <w:spacing w:before="100" w:beforeAutospacing="1" w:after="100" w:afterAutospacing="1"/>
    </w:pPr>
  </w:style>
  <w:style w:type="table" w:styleId="979">
    <w:name w:val="Table Grid"/>
    <w:basedOn w:val="94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0" w:customStyle="1">
    <w:name w:val="Сетка таблицы1"/>
    <w:basedOn w:val="949"/>
    <w:next w:val="97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1" w:customStyle="1">
    <w:name w:val="Сетка таблицы2"/>
    <w:basedOn w:val="949"/>
    <w:next w:val="97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2" w:customStyle="1">
    <w:name w:val="Сетка таблицы3"/>
    <w:basedOn w:val="949"/>
    <w:next w:val="97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3" w:customStyle="1">
    <w:name w:val="Сетка таблицы4"/>
    <w:basedOn w:val="949"/>
    <w:next w:val="97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4" w:customStyle="1">
    <w:name w:val="Сетка таблицы5"/>
    <w:basedOn w:val="949"/>
    <w:next w:val="979"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5" w:customStyle="1">
    <w:name w:val="HTML Preformatted"/>
    <w:basedOn w:val="81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login.consultant.ru/link/?req=doc&amp;base=LAW&amp;n=468291&amp;dst=91&amp;field=134&amp;date=16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84A1-0C54-4A5F-9CE6-B3D38B8D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kasimova.gulnara</cp:lastModifiedBy>
  <cp:revision>59</cp:revision>
  <dcterms:created xsi:type="dcterms:W3CDTF">2026-03-16T08:05:00Z</dcterms:created>
  <dcterms:modified xsi:type="dcterms:W3CDTF">2026-07-24T10:31:56Z</dcterms:modified>
</cp:coreProperties>
</file>