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B73" w:rsidRPr="00C9394C" w:rsidRDefault="00BD3B73" w:rsidP="00BD3B73"/>
    <w:p w:rsidR="00BD3B73" w:rsidRPr="00C9394C" w:rsidRDefault="00BD3B73" w:rsidP="00BD3B73"/>
    <w:p w:rsidR="00BD3B73" w:rsidRDefault="00BD3B73" w:rsidP="00BD3B73"/>
    <w:p w:rsidR="00BD3B73" w:rsidRDefault="00BD3B73" w:rsidP="00BD3B73"/>
    <w:p w:rsidR="00BD3B73" w:rsidRDefault="00BD3B73" w:rsidP="00BD3B73"/>
    <w:p w:rsidR="00BD3B73" w:rsidRDefault="00BD3B73" w:rsidP="00BD3B73"/>
    <w:p w:rsidR="00BD3B73" w:rsidRDefault="00BD3B73" w:rsidP="00BD3B73"/>
    <w:p w:rsidR="00AB5615" w:rsidRDefault="00AB5615" w:rsidP="00BD3B73"/>
    <w:p w:rsidR="00291263" w:rsidRDefault="00291263" w:rsidP="00BD3B73"/>
    <w:p w:rsidR="0018413E" w:rsidRDefault="0018413E" w:rsidP="00BD3B73">
      <w:pPr>
        <w:rPr>
          <w:lang w:val="en-US"/>
        </w:rPr>
      </w:pPr>
    </w:p>
    <w:p w:rsidR="00B115FC" w:rsidRPr="00291263" w:rsidRDefault="00B115FC" w:rsidP="00BD3B73"/>
    <w:p w:rsidR="00BD3B73" w:rsidRDefault="00BD3B73" w:rsidP="00BD3B73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033EAD" w:rsidTr="0018413E">
        <w:trPr>
          <w:trHeight w:val="1633"/>
        </w:trPr>
        <w:tc>
          <w:tcPr>
            <w:tcW w:w="4361" w:type="dxa"/>
          </w:tcPr>
          <w:p w:rsidR="00033EAD" w:rsidRPr="00957C26" w:rsidRDefault="0018413E" w:rsidP="002811B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</w:t>
            </w:r>
            <w:r w:rsidR="006464B3">
              <w:rPr>
                <w:sz w:val="28"/>
                <w:szCs w:val="28"/>
              </w:rPr>
              <w:t xml:space="preserve"> в </w:t>
            </w:r>
            <w:r w:rsidR="005702DB" w:rsidRPr="00957C26">
              <w:rPr>
                <w:sz w:val="28"/>
                <w:szCs w:val="28"/>
              </w:rPr>
              <w:t>приказ Министерства культуры Республи</w:t>
            </w:r>
            <w:r w:rsidR="00074660">
              <w:rPr>
                <w:sz w:val="28"/>
                <w:szCs w:val="28"/>
              </w:rPr>
              <w:t xml:space="preserve">ки Татарстан </w:t>
            </w:r>
            <w:r w:rsidR="00B115FC" w:rsidRPr="00B115FC">
              <w:rPr>
                <w:sz w:val="28"/>
                <w:szCs w:val="28"/>
              </w:rPr>
              <w:t xml:space="preserve">                    </w:t>
            </w:r>
            <w:r w:rsidR="00074660">
              <w:rPr>
                <w:sz w:val="28"/>
                <w:szCs w:val="28"/>
              </w:rPr>
              <w:t xml:space="preserve">от </w:t>
            </w:r>
            <w:r w:rsidR="00074660" w:rsidRPr="00074660">
              <w:rPr>
                <w:sz w:val="28"/>
                <w:szCs w:val="28"/>
              </w:rPr>
              <w:t>26</w:t>
            </w:r>
            <w:r w:rsidR="00074660">
              <w:rPr>
                <w:sz w:val="28"/>
                <w:szCs w:val="28"/>
              </w:rPr>
              <w:t>.0</w:t>
            </w:r>
            <w:r w:rsidR="00074660" w:rsidRPr="00074660">
              <w:rPr>
                <w:sz w:val="28"/>
                <w:szCs w:val="28"/>
              </w:rPr>
              <w:t>4</w:t>
            </w:r>
            <w:r w:rsidR="00074660">
              <w:rPr>
                <w:sz w:val="28"/>
                <w:szCs w:val="28"/>
              </w:rPr>
              <w:t>.2017 № 3</w:t>
            </w:r>
            <w:r w:rsidR="00074660" w:rsidRPr="00074660">
              <w:rPr>
                <w:sz w:val="28"/>
                <w:szCs w:val="28"/>
              </w:rPr>
              <w:t>37</w:t>
            </w:r>
            <w:r w:rsidR="005702DB" w:rsidRPr="00957C26">
              <w:rPr>
                <w:sz w:val="28"/>
                <w:szCs w:val="28"/>
              </w:rPr>
              <w:t xml:space="preserve"> од «</w:t>
            </w:r>
            <w:r w:rsidR="00033EAD" w:rsidRPr="00957C26">
              <w:rPr>
                <w:sz w:val="28"/>
                <w:szCs w:val="28"/>
              </w:rPr>
              <w:t>Об</w:t>
            </w:r>
            <w:r w:rsidR="00074660" w:rsidRPr="0007466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утверждении </w:t>
            </w:r>
            <w:r w:rsidR="00074660">
              <w:rPr>
                <w:sz w:val="28"/>
                <w:szCs w:val="28"/>
              </w:rPr>
              <w:t xml:space="preserve">Административного регламента исполнения Министерством культуры Республики Татарстан государственной функции по осуществлению </w:t>
            </w:r>
            <w:proofErr w:type="gramStart"/>
            <w:r w:rsidR="00074660">
              <w:rPr>
                <w:sz w:val="28"/>
                <w:szCs w:val="28"/>
              </w:rPr>
              <w:t>контроля за</w:t>
            </w:r>
            <w:proofErr w:type="gramEnd"/>
            <w:r w:rsidR="00074660">
              <w:rPr>
                <w:sz w:val="28"/>
                <w:szCs w:val="28"/>
              </w:rPr>
              <w:t xml:space="preserve"> состоянием государственной части Музейного фонда Российской Федерации, находящейся на территории Республики Татарстан</w:t>
            </w:r>
            <w:r w:rsidR="005702DB" w:rsidRPr="00957C26">
              <w:rPr>
                <w:sz w:val="28"/>
                <w:szCs w:val="28"/>
              </w:rPr>
              <w:t>»</w:t>
            </w:r>
          </w:p>
        </w:tc>
      </w:tr>
    </w:tbl>
    <w:p w:rsidR="00355037" w:rsidRDefault="00355037" w:rsidP="005702DB">
      <w:pPr>
        <w:jc w:val="both"/>
        <w:rPr>
          <w:sz w:val="28"/>
          <w:szCs w:val="28"/>
        </w:rPr>
      </w:pPr>
    </w:p>
    <w:p w:rsidR="00BD3B73" w:rsidRDefault="00BD3B73" w:rsidP="00355037">
      <w:pPr>
        <w:ind w:firstLine="709"/>
        <w:jc w:val="both"/>
        <w:rPr>
          <w:b/>
          <w:color w:val="000000"/>
          <w:spacing w:val="1"/>
          <w:sz w:val="28"/>
          <w:szCs w:val="28"/>
        </w:rPr>
      </w:pPr>
      <w:r w:rsidRPr="001D5AF2">
        <w:rPr>
          <w:b/>
          <w:color w:val="000000"/>
          <w:spacing w:val="1"/>
          <w:sz w:val="28"/>
          <w:szCs w:val="28"/>
        </w:rPr>
        <w:t>ПРИКАЗЫВАЮ:</w:t>
      </w:r>
    </w:p>
    <w:p w:rsidR="005702DB" w:rsidRPr="006D6366" w:rsidRDefault="005702DB" w:rsidP="00355037">
      <w:pPr>
        <w:ind w:firstLine="709"/>
        <w:jc w:val="both"/>
        <w:rPr>
          <w:sz w:val="28"/>
          <w:szCs w:val="28"/>
        </w:rPr>
      </w:pPr>
    </w:p>
    <w:p w:rsidR="006136D7" w:rsidRDefault="002811B9" w:rsidP="00074660">
      <w:pPr>
        <w:ind w:firstLine="709"/>
        <w:jc w:val="both"/>
        <w:rPr>
          <w:sz w:val="28"/>
          <w:szCs w:val="28"/>
        </w:rPr>
      </w:pPr>
      <w:r w:rsidRPr="002811B9">
        <w:rPr>
          <w:sz w:val="28"/>
          <w:szCs w:val="28"/>
        </w:rPr>
        <w:t xml:space="preserve">Внести </w:t>
      </w:r>
      <w:r w:rsidR="00C65253" w:rsidRPr="002811B9">
        <w:rPr>
          <w:sz w:val="28"/>
          <w:szCs w:val="28"/>
        </w:rPr>
        <w:t>в</w:t>
      </w:r>
      <w:r w:rsidRPr="002811B9">
        <w:rPr>
          <w:sz w:val="28"/>
          <w:szCs w:val="28"/>
        </w:rPr>
        <w:t xml:space="preserve"> прика</w:t>
      </w:r>
      <w:r w:rsidR="006464B3">
        <w:rPr>
          <w:sz w:val="28"/>
          <w:szCs w:val="28"/>
        </w:rPr>
        <w:t>з</w:t>
      </w:r>
      <w:r w:rsidRPr="002811B9">
        <w:rPr>
          <w:sz w:val="28"/>
          <w:szCs w:val="28"/>
        </w:rPr>
        <w:t xml:space="preserve"> Министерства культуры Республики Татарстан от 26.04.2017 № 337 од «Об утверждении Административного регламента исполнения Министерством культуры Республики Татарстан государственной функции по осуществлению </w:t>
      </w:r>
      <w:proofErr w:type="gramStart"/>
      <w:r w:rsidRPr="002811B9">
        <w:rPr>
          <w:sz w:val="28"/>
          <w:szCs w:val="28"/>
        </w:rPr>
        <w:t>контроля за</w:t>
      </w:r>
      <w:proofErr w:type="gramEnd"/>
      <w:r w:rsidRPr="002811B9">
        <w:rPr>
          <w:sz w:val="28"/>
          <w:szCs w:val="28"/>
        </w:rPr>
        <w:t xml:space="preserve"> состоянием государственной части Музейного фонда Российской Федерации, находящейся на территории Республики Татарстан», следующие изменения:</w:t>
      </w:r>
    </w:p>
    <w:p w:rsidR="002811B9" w:rsidRDefault="002811B9" w:rsidP="002811B9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пункте 1 слова </w:t>
      </w:r>
      <w:r w:rsidRPr="002811B9">
        <w:rPr>
          <w:sz w:val="28"/>
          <w:szCs w:val="28"/>
        </w:rPr>
        <w:t>«по осуществлению контроля за состоянием государственной части Музейного фонда Российской Федерации» заменить словами «по осуществлению государственного контроля за состоянием государственной части Музейного фонда Российской Федерации»;</w:t>
      </w:r>
      <w:proofErr w:type="gramEnd"/>
    </w:p>
    <w:p w:rsidR="006464B3" w:rsidRPr="002811B9" w:rsidRDefault="006464B3" w:rsidP="002811B9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 w:rsidRPr="006464B3">
        <w:rPr>
          <w:sz w:val="28"/>
          <w:szCs w:val="28"/>
        </w:rPr>
        <w:t>А</w:t>
      </w:r>
      <w:r>
        <w:rPr>
          <w:sz w:val="28"/>
          <w:szCs w:val="28"/>
        </w:rPr>
        <w:t>дминистративном</w:t>
      </w:r>
      <w:r w:rsidRPr="006464B3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е</w:t>
      </w:r>
      <w:r w:rsidRPr="006464B3">
        <w:rPr>
          <w:sz w:val="28"/>
          <w:szCs w:val="28"/>
        </w:rPr>
        <w:t xml:space="preserve"> исполнения Министерством культуры Республики Татарстан государственной функции по осуществлению контроля за состоянием государственной части Музейного фонда Российской Федерации, находящейся на территории Республики Татарстан</w:t>
      </w:r>
      <w:r>
        <w:rPr>
          <w:sz w:val="28"/>
          <w:szCs w:val="28"/>
        </w:rPr>
        <w:t xml:space="preserve"> (далее – Административный регламент), утвержденный указанным приказом</w:t>
      </w:r>
      <w:r w:rsidR="003C3DDB">
        <w:rPr>
          <w:sz w:val="28"/>
          <w:szCs w:val="28"/>
        </w:rPr>
        <w:t>,</w:t>
      </w:r>
      <w:r>
        <w:rPr>
          <w:sz w:val="28"/>
          <w:szCs w:val="28"/>
        </w:rPr>
        <w:t xml:space="preserve"> внести следующие изменения:</w:t>
      </w:r>
      <w:proofErr w:type="gramEnd"/>
    </w:p>
    <w:p w:rsidR="000956FE" w:rsidRPr="002811B9" w:rsidRDefault="000956FE" w:rsidP="00074660">
      <w:pPr>
        <w:ind w:firstLine="709"/>
        <w:jc w:val="both"/>
        <w:rPr>
          <w:sz w:val="28"/>
          <w:szCs w:val="28"/>
        </w:rPr>
      </w:pPr>
      <w:proofErr w:type="gramStart"/>
      <w:r w:rsidRPr="002811B9">
        <w:rPr>
          <w:sz w:val="28"/>
          <w:szCs w:val="28"/>
        </w:rPr>
        <w:t xml:space="preserve">в </w:t>
      </w:r>
      <w:r w:rsidR="006136D7" w:rsidRPr="002811B9">
        <w:rPr>
          <w:sz w:val="28"/>
          <w:szCs w:val="28"/>
        </w:rPr>
        <w:t>наименовании А</w:t>
      </w:r>
      <w:r w:rsidRPr="002811B9">
        <w:rPr>
          <w:sz w:val="28"/>
          <w:szCs w:val="28"/>
        </w:rPr>
        <w:t xml:space="preserve">дминистративного регламента слова «по осуществлению контроля за состоянием государственной части Музейного фонда Российской Федерации» заменить словами «по осуществлению </w:t>
      </w:r>
      <w:r w:rsidR="006136D7" w:rsidRPr="002811B9">
        <w:rPr>
          <w:sz w:val="28"/>
          <w:szCs w:val="28"/>
        </w:rPr>
        <w:t>государственног</w:t>
      </w:r>
      <w:r w:rsidRPr="002811B9">
        <w:rPr>
          <w:sz w:val="28"/>
          <w:szCs w:val="28"/>
        </w:rPr>
        <w:t>о контроля за состоянием государственной части Музейного фонда Российской Федерации»;</w:t>
      </w:r>
      <w:proofErr w:type="gramEnd"/>
    </w:p>
    <w:p w:rsidR="006136D7" w:rsidRPr="002811B9" w:rsidRDefault="006136D7" w:rsidP="00074660">
      <w:pPr>
        <w:ind w:firstLine="709"/>
        <w:jc w:val="both"/>
        <w:rPr>
          <w:sz w:val="28"/>
          <w:szCs w:val="28"/>
        </w:rPr>
      </w:pPr>
      <w:r w:rsidRPr="002811B9">
        <w:rPr>
          <w:sz w:val="28"/>
          <w:szCs w:val="28"/>
        </w:rPr>
        <w:lastRenderedPageBreak/>
        <w:t xml:space="preserve">в </w:t>
      </w:r>
      <w:proofErr w:type="gramStart"/>
      <w:r w:rsidRPr="002811B9">
        <w:rPr>
          <w:sz w:val="28"/>
          <w:szCs w:val="28"/>
        </w:rPr>
        <w:t>пункте</w:t>
      </w:r>
      <w:proofErr w:type="gramEnd"/>
      <w:r w:rsidRPr="002811B9">
        <w:rPr>
          <w:sz w:val="28"/>
          <w:szCs w:val="28"/>
        </w:rPr>
        <w:t xml:space="preserve"> 1.4:</w:t>
      </w:r>
    </w:p>
    <w:p w:rsidR="000956FE" w:rsidRPr="002811B9" w:rsidRDefault="000956FE" w:rsidP="00074660">
      <w:pPr>
        <w:ind w:firstLine="709"/>
        <w:jc w:val="both"/>
        <w:rPr>
          <w:sz w:val="28"/>
          <w:szCs w:val="28"/>
        </w:rPr>
      </w:pPr>
      <w:r w:rsidRPr="002811B9">
        <w:rPr>
          <w:sz w:val="28"/>
          <w:szCs w:val="28"/>
        </w:rPr>
        <w:t>после абзаца тринадцатого дополнить пунктами следующего содержания:</w:t>
      </w:r>
    </w:p>
    <w:p w:rsidR="000956FE" w:rsidRPr="002811B9" w:rsidRDefault="000956FE" w:rsidP="000956FE">
      <w:pPr>
        <w:ind w:firstLine="709"/>
        <w:jc w:val="both"/>
        <w:rPr>
          <w:sz w:val="28"/>
          <w:szCs w:val="28"/>
        </w:rPr>
      </w:pPr>
      <w:proofErr w:type="gramStart"/>
      <w:r w:rsidRPr="002811B9">
        <w:rPr>
          <w:sz w:val="28"/>
          <w:szCs w:val="28"/>
        </w:rPr>
        <w:t>«постановлением Правительства Российской Федерации от 18 апреля 2016 г. № 323 «О направлении запроса и получении на безвозмездной основе, в том числе в электронной форме, документов и (или) информации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</w:t>
      </w:r>
      <w:proofErr w:type="gramEnd"/>
      <w:r w:rsidRPr="002811B9">
        <w:rPr>
          <w:sz w:val="28"/>
          <w:szCs w:val="28"/>
        </w:rPr>
        <w:t xml:space="preserve"> эти документы и (или) информация, в </w:t>
      </w:r>
      <w:proofErr w:type="gramStart"/>
      <w:r w:rsidRPr="002811B9">
        <w:rPr>
          <w:sz w:val="28"/>
          <w:szCs w:val="28"/>
        </w:rPr>
        <w:t>рамках</w:t>
      </w:r>
      <w:proofErr w:type="gramEnd"/>
      <w:r w:rsidRPr="002811B9">
        <w:rPr>
          <w:sz w:val="28"/>
          <w:szCs w:val="28"/>
        </w:rPr>
        <w:t xml:space="preserve"> ме</w:t>
      </w:r>
      <w:r w:rsidR="00291263">
        <w:rPr>
          <w:sz w:val="28"/>
          <w:szCs w:val="28"/>
        </w:rPr>
        <w:t>жведомственного информационного</w:t>
      </w:r>
      <w:r w:rsidRPr="002811B9">
        <w:rPr>
          <w:sz w:val="28"/>
          <w:szCs w:val="28"/>
        </w:rPr>
        <w:t xml:space="preserve"> взаимодействия» (Собрание законодательства Российской Федерации, 2016, № 17, ст. 2418); </w:t>
      </w:r>
    </w:p>
    <w:p w:rsidR="000956FE" w:rsidRPr="002811B9" w:rsidRDefault="000956FE" w:rsidP="000956FE">
      <w:pPr>
        <w:ind w:firstLine="709"/>
        <w:jc w:val="both"/>
        <w:rPr>
          <w:sz w:val="28"/>
          <w:szCs w:val="28"/>
        </w:rPr>
      </w:pPr>
      <w:proofErr w:type="gramStart"/>
      <w:r w:rsidRPr="002811B9">
        <w:rPr>
          <w:sz w:val="28"/>
          <w:szCs w:val="28"/>
        </w:rPr>
        <w:t xml:space="preserve">постановлением Правительства Российской Федерации от 10 февраля 2017 г. № 166 «Об утверждении Правил 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предостережения» (далее – постановление Правительства РФ № 166) (Собрание законодательства Российской Федерации, 2017, № 8, ст. 1239); </w:t>
      </w:r>
      <w:proofErr w:type="gramEnd"/>
    </w:p>
    <w:p w:rsidR="000956FE" w:rsidRPr="002811B9" w:rsidRDefault="000956FE" w:rsidP="000956FE">
      <w:pPr>
        <w:ind w:firstLine="709"/>
        <w:jc w:val="both"/>
        <w:rPr>
          <w:sz w:val="28"/>
          <w:szCs w:val="28"/>
        </w:rPr>
      </w:pPr>
      <w:r w:rsidRPr="002811B9">
        <w:rPr>
          <w:sz w:val="28"/>
          <w:szCs w:val="28"/>
        </w:rPr>
        <w:t>распоряжением Правительства Российской Федерации от 19 апреля 2016 г. № 724-р (Собрание законодательства Российской Федерации, 2016, № 18, ст. 2647, с учетом внесенных изменений)»;</w:t>
      </w:r>
    </w:p>
    <w:p w:rsidR="003104F3" w:rsidRPr="002811B9" w:rsidRDefault="006136D7" w:rsidP="006136D7">
      <w:pPr>
        <w:ind w:firstLine="709"/>
        <w:jc w:val="both"/>
        <w:rPr>
          <w:sz w:val="28"/>
          <w:szCs w:val="28"/>
        </w:rPr>
      </w:pPr>
      <w:r w:rsidRPr="002811B9">
        <w:rPr>
          <w:sz w:val="28"/>
          <w:szCs w:val="28"/>
        </w:rPr>
        <w:t xml:space="preserve">в </w:t>
      </w:r>
      <w:proofErr w:type="gramStart"/>
      <w:r w:rsidR="0018413E" w:rsidRPr="002811B9">
        <w:rPr>
          <w:sz w:val="28"/>
          <w:szCs w:val="28"/>
        </w:rPr>
        <w:t>абзац</w:t>
      </w:r>
      <w:r w:rsidRPr="002811B9">
        <w:rPr>
          <w:sz w:val="28"/>
          <w:szCs w:val="28"/>
        </w:rPr>
        <w:t>е</w:t>
      </w:r>
      <w:proofErr w:type="gramEnd"/>
      <w:r w:rsidRPr="002811B9">
        <w:rPr>
          <w:sz w:val="28"/>
          <w:szCs w:val="28"/>
        </w:rPr>
        <w:t xml:space="preserve"> двадцатом</w:t>
      </w:r>
      <w:r w:rsidR="0018413E" w:rsidRPr="002811B9">
        <w:rPr>
          <w:sz w:val="28"/>
          <w:szCs w:val="28"/>
        </w:rPr>
        <w:t xml:space="preserve"> </w:t>
      </w:r>
      <w:r w:rsidRPr="002811B9">
        <w:rPr>
          <w:sz w:val="28"/>
          <w:szCs w:val="28"/>
        </w:rPr>
        <w:t>слова «(далее – приказ Росстата № 764)» заменить словами</w:t>
      </w:r>
      <w:r w:rsidR="00B115FC" w:rsidRPr="002811B9">
        <w:rPr>
          <w:sz w:val="28"/>
          <w:szCs w:val="28"/>
        </w:rPr>
        <w:t xml:space="preserve"> </w:t>
      </w:r>
      <w:r w:rsidRPr="002811B9">
        <w:rPr>
          <w:sz w:val="28"/>
          <w:szCs w:val="28"/>
        </w:rPr>
        <w:t>«</w:t>
      </w:r>
      <w:r w:rsidR="00B115FC" w:rsidRPr="002811B9">
        <w:rPr>
          <w:sz w:val="28"/>
          <w:szCs w:val="28"/>
        </w:rPr>
        <w:t>(далее – приказ Росстата</w:t>
      </w:r>
      <w:r w:rsidRPr="002811B9">
        <w:rPr>
          <w:sz w:val="28"/>
          <w:szCs w:val="28"/>
        </w:rPr>
        <w:t xml:space="preserve"> </w:t>
      </w:r>
      <w:r w:rsidR="0018413E" w:rsidRPr="002811B9">
        <w:rPr>
          <w:sz w:val="28"/>
          <w:szCs w:val="28"/>
        </w:rPr>
        <w:t>№ 764);»</w:t>
      </w:r>
      <w:r w:rsidR="003104F3" w:rsidRPr="002811B9">
        <w:rPr>
          <w:sz w:val="28"/>
          <w:szCs w:val="28"/>
        </w:rPr>
        <w:t>;</w:t>
      </w:r>
    </w:p>
    <w:p w:rsidR="000956FE" w:rsidRPr="002811B9" w:rsidRDefault="000956FE" w:rsidP="00074660">
      <w:pPr>
        <w:ind w:firstLine="709"/>
        <w:jc w:val="both"/>
        <w:rPr>
          <w:sz w:val="28"/>
          <w:szCs w:val="28"/>
        </w:rPr>
      </w:pPr>
      <w:r w:rsidRPr="002811B9">
        <w:rPr>
          <w:sz w:val="28"/>
          <w:szCs w:val="28"/>
        </w:rPr>
        <w:t>абзац второй пункта 1.7 исключить;</w:t>
      </w:r>
    </w:p>
    <w:p w:rsidR="0018413E" w:rsidRPr="002811B9" w:rsidRDefault="0018413E" w:rsidP="00074660">
      <w:pPr>
        <w:ind w:firstLine="709"/>
        <w:jc w:val="both"/>
        <w:rPr>
          <w:sz w:val="28"/>
          <w:szCs w:val="28"/>
        </w:rPr>
      </w:pPr>
      <w:r w:rsidRPr="002811B9">
        <w:rPr>
          <w:sz w:val="28"/>
          <w:szCs w:val="28"/>
        </w:rPr>
        <w:t>подпункт «д» пункта 1.10 изложить в следующей редакции:</w:t>
      </w:r>
    </w:p>
    <w:p w:rsidR="003104F3" w:rsidRPr="002811B9" w:rsidRDefault="0018413E" w:rsidP="00074660">
      <w:pPr>
        <w:ind w:firstLine="709"/>
        <w:jc w:val="both"/>
        <w:rPr>
          <w:sz w:val="28"/>
          <w:szCs w:val="28"/>
        </w:rPr>
      </w:pPr>
      <w:proofErr w:type="gramStart"/>
      <w:r w:rsidRPr="002811B9">
        <w:rPr>
          <w:sz w:val="28"/>
          <w:szCs w:val="28"/>
        </w:rPr>
        <w:t>«д) осуществлять плановую или внеплановую выездную проверку в случае отсутствия при ее проведении руководителя, иного должностного лица или уполномоченного представителя объекта проверки, за исключением случая проведения такой проверки по основанию причинения вреда музейным предметам и музейным коллекциям, включенным в состав Музейного фонда Российской Федерации</w:t>
      </w:r>
      <w:r w:rsidR="00C02EAF" w:rsidRPr="002811B9">
        <w:rPr>
          <w:sz w:val="28"/>
          <w:szCs w:val="28"/>
        </w:rPr>
        <w:t>;</w:t>
      </w:r>
      <w:r w:rsidRPr="002811B9">
        <w:rPr>
          <w:sz w:val="28"/>
          <w:szCs w:val="28"/>
        </w:rPr>
        <w:t>»</w:t>
      </w:r>
      <w:r w:rsidR="001A78A6" w:rsidRPr="002811B9">
        <w:rPr>
          <w:sz w:val="28"/>
          <w:szCs w:val="28"/>
        </w:rPr>
        <w:t>;</w:t>
      </w:r>
      <w:proofErr w:type="gramEnd"/>
    </w:p>
    <w:p w:rsidR="001A78A6" w:rsidRPr="002811B9" w:rsidRDefault="001A78A6" w:rsidP="00074660">
      <w:pPr>
        <w:ind w:firstLine="709"/>
        <w:jc w:val="both"/>
        <w:rPr>
          <w:sz w:val="28"/>
          <w:szCs w:val="28"/>
        </w:rPr>
      </w:pPr>
      <w:r w:rsidRPr="002811B9">
        <w:rPr>
          <w:sz w:val="28"/>
          <w:szCs w:val="28"/>
        </w:rPr>
        <w:t>пункт 1.9 исключить;</w:t>
      </w:r>
    </w:p>
    <w:p w:rsidR="006136D7" w:rsidRPr="002811B9" w:rsidRDefault="006136D7" w:rsidP="00074660">
      <w:pPr>
        <w:ind w:firstLine="709"/>
        <w:jc w:val="both"/>
        <w:rPr>
          <w:sz w:val="28"/>
          <w:szCs w:val="28"/>
        </w:rPr>
      </w:pPr>
      <w:r w:rsidRPr="002811B9">
        <w:rPr>
          <w:sz w:val="28"/>
          <w:szCs w:val="28"/>
        </w:rPr>
        <w:t xml:space="preserve">в </w:t>
      </w:r>
      <w:proofErr w:type="gramStart"/>
      <w:r w:rsidRPr="002811B9">
        <w:rPr>
          <w:sz w:val="28"/>
          <w:szCs w:val="28"/>
        </w:rPr>
        <w:t>пункте</w:t>
      </w:r>
      <w:proofErr w:type="gramEnd"/>
      <w:r w:rsidRPr="002811B9">
        <w:rPr>
          <w:sz w:val="28"/>
          <w:szCs w:val="28"/>
        </w:rPr>
        <w:t xml:space="preserve"> 1.10:</w:t>
      </w:r>
    </w:p>
    <w:p w:rsidR="001A78A6" w:rsidRPr="002811B9" w:rsidRDefault="001A78A6" w:rsidP="00074660">
      <w:pPr>
        <w:ind w:firstLine="709"/>
        <w:jc w:val="both"/>
        <w:rPr>
          <w:sz w:val="28"/>
          <w:szCs w:val="28"/>
        </w:rPr>
      </w:pPr>
      <w:r w:rsidRPr="002811B9">
        <w:rPr>
          <w:sz w:val="28"/>
          <w:szCs w:val="28"/>
        </w:rPr>
        <w:t>подпункт «б» исключить;</w:t>
      </w:r>
    </w:p>
    <w:p w:rsidR="001A78A6" w:rsidRPr="002811B9" w:rsidRDefault="001A78A6" w:rsidP="00074660">
      <w:pPr>
        <w:ind w:firstLine="709"/>
        <w:jc w:val="both"/>
        <w:rPr>
          <w:sz w:val="28"/>
          <w:szCs w:val="28"/>
        </w:rPr>
      </w:pPr>
      <w:r w:rsidRPr="002811B9">
        <w:rPr>
          <w:sz w:val="28"/>
          <w:szCs w:val="28"/>
        </w:rPr>
        <w:t xml:space="preserve">в </w:t>
      </w:r>
      <w:proofErr w:type="gramStart"/>
      <w:r w:rsidRPr="002811B9">
        <w:rPr>
          <w:sz w:val="28"/>
          <w:szCs w:val="28"/>
        </w:rPr>
        <w:t>подпункте</w:t>
      </w:r>
      <w:proofErr w:type="gramEnd"/>
      <w:r w:rsidRPr="002811B9">
        <w:rPr>
          <w:sz w:val="28"/>
          <w:szCs w:val="28"/>
        </w:rPr>
        <w:t xml:space="preserve"> «в» слова </w:t>
      </w:r>
      <w:r w:rsidR="00291263">
        <w:rPr>
          <w:sz w:val="28"/>
          <w:szCs w:val="28"/>
        </w:rPr>
        <w:t>«</w:t>
      </w:r>
      <w:r w:rsidR="006136D7" w:rsidRPr="002811B9">
        <w:rPr>
          <w:sz w:val="28"/>
          <w:szCs w:val="28"/>
        </w:rPr>
        <w:t>(</w:t>
      </w:r>
      <w:r w:rsidRPr="002811B9">
        <w:rPr>
          <w:sz w:val="28"/>
          <w:szCs w:val="28"/>
        </w:rPr>
        <w:t>требование указанного абзаца действует с 1 июля 2017 года</w:t>
      </w:r>
      <w:r w:rsidR="006136D7" w:rsidRPr="002811B9">
        <w:rPr>
          <w:sz w:val="28"/>
          <w:szCs w:val="28"/>
        </w:rPr>
        <w:t>)</w:t>
      </w:r>
      <w:r w:rsidR="00291263">
        <w:rPr>
          <w:sz w:val="28"/>
          <w:szCs w:val="28"/>
        </w:rPr>
        <w:t>»</w:t>
      </w:r>
      <w:r w:rsidRPr="002811B9">
        <w:rPr>
          <w:sz w:val="28"/>
          <w:szCs w:val="28"/>
        </w:rPr>
        <w:t xml:space="preserve"> исключить;</w:t>
      </w:r>
    </w:p>
    <w:p w:rsidR="001A78A6" w:rsidRPr="002811B9" w:rsidRDefault="001A78A6" w:rsidP="00074660">
      <w:pPr>
        <w:ind w:firstLine="709"/>
        <w:jc w:val="both"/>
        <w:rPr>
          <w:sz w:val="28"/>
          <w:szCs w:val="28"/>
        </w:rPr>
      </w:pPr>
      <w:r w:rsidRPr="002811B9">
        <w:rPr>
          <w:sz w:val="28"/>
          <w:szCs w:val="28"/>
        </w:rPr>
        <w:t>пункт 3.3. изложить в следующей редакции:</w:t>
      </w:r>
    </w:p>
    <w:p w:rsidR="001A78A6" w:rsidRPr="002811B9" w:rsidRDefault="001A78A6" w:rsidP="001A78A6">
      <w:pPr>
        <w:ind w:firstLine="709"/>
        <w:jc w:val="both"/>
        <w:rPr>
          <w:sz w:val="28"/>
          <w:szCs w:val="28"/>
        </w:rPr>
      </w:pPr>
      <w:r w:rsidRPr="002811B9">
        <w:rPr>
          <w:sz w:val="28"/>
          <w:szCs w:val="28"/>
        </w:rPr>
        <w:t xml:space="preserve">«3.3. </w:t>
      </w:r>
      <w:proofErr w:type="gramStart"/>
      <w:r w:rsidRPr="002811B9">
        <w:rPr>
          <w:sz w:val="28"/>
          <w:szCs w:val="28"/>
        </w:rPr>
        <w:t>В целях профилактики нарушений обязательных требований Министерство выдает предостережения о недопустимости нарушения обязательных требований в соответствии с порядком, установленным частями 5 – 7 статьи 8.2 Федерального закона № 294-ФЗ и Правилами 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предостережения, утвержденными постановлением Правительства РФ № 166</w:t>
      </w:r>
      <w:proofErr w:type="gramEnd"/>
      <w:r w:rsidRPr="002811B9">
        <w:rPr>
          <w:sz w:val="28"/>
          <w:szCs w:val="28"/>
        </w:rPr>
        <w:t xml:space="preserve">, и </w:t>
      </w:r>
      <w:r w:rsidRPr="002811B9">
        <w:rPr>
          <w:sz w:val="28"/>
          <w:szCs w:val="28"/>
        </w:rPr>
        <w:lastRenderedPageBreak/>
        <w:t>предлагает объекту проверки принять меры по обеспечению соблюдения обязательных требований, и уведомить об этом в установленный в таком предостережении срок Министерство</w:t>
      </w:r>
      <w:proofErr w:type="gramStart"/>
      <w:r w:rsidRPr="002811B9">
        <w:rPr>
          <w:sz w:val="28"/>
          <w:szCs w:val="28"/>
        </w:rPr>
        <w:t>.»;</w:t>
      </w:r>
      <w:proofErr w:type="gramEnd"/>
    </w:p>
    <w:p w:rsidR="003104F3" w:rsidRPr="002811B9" w:rsidRDefault="001A78A6" w:rsidP="003104F3">
      <w:pPr>
        <w:ind w:firstLine="709"/>
        <w:jc w:val="both"/>
        <w:rPr>
          <w:sz w:val="28"/>
          <w:szCs w:val="28"/>
        </w:rPr>
      </w:pPr>
      <w:r w:rsidRPr="002811B9">
        <w:rPr>
          <w:sz w:val="28"/>
          <w:szCs w:val="28"/>
        </w:rPr>
        <w:t>п</w:t>
      </w:r>
      <w:r w:rsidR="00B115FC" w:rsidRPr="002811B9">
        <w:rPr>
          <w:sz w:val="28"/>
          <w:szCs w:val="28"/>
        </w:rPr>
        <w:t>ункт</w:t>
      </w:r>
      <w:r w:rsidR="003104F3" w:rsidRPr="002811B9">
        <w:rPr>
          <w:sz w:val="28"/>
          <w:szCs w:val="28"/>
        </w:rPr>
        <w:t xml:space="preserve"> 7.4 изложить в следующей редакции:</w:t>
      </w:r>
    </w:p>
    <w:p w:rsidR="006136D7" w:rsidRPr="002811B9" w:rsidRDefault="006136D7" w:rsidP="006136D7">
      <w:pPr>
        <w:ind w:firstLine="709"/>
        <w:jc w:val="both"/>
        <w:rPr>
          <w:sz w:val="28"/>
          <w:szCs w:val="28"/>
        </w:rPr>
      </w:pPr>
      <w:r w:rsidRPr="002811B9">
        <w:rPr>
          <w:sz w:val="28"/>
          <w:szCs w:val="28"/>
        </w:rPr>
        <w:t>«7.4. Ответ на жалобу не дается либо не дается ответ по существу поставленного в жалобе вопроса в следующих случаях:</w:t>
      </w:r>
    </w:p>
    <w:p w:rsidR="006136D7" w:rsidRPr="002811B9" w:rsidRDefault="006136D7" w:rsidP="006136D7">
      <w:pPr>
        <w:ind w:firstLine="709"/>
        <w:jc w:val="both"/>
        <w:rPr>
          <w:sz w:val="28"/>
          <w:szCs w:val="28"/>
        </w:rPr>
      </w:pPr>
      <w:proofErr w:type="gramStart"/>
      <w:r w:rsidRPr="002811B9">
        <w:rPr>
          <w:sz w:val="28"/>
          <w:szCs w:val="28"/>
        </w:rPr>
        <w:t>- если в письменной жалобе не указаны фамилия заявителя (наименование объекта проверки), направившего жалобу, или почтовый адрес, по которому должен быть направлен ответ (если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компетенцией);</w:t>
      </w:r>
      <w:proofErr w:type="gramEnd"/>
    </w:p>
    <w:p w:rsidR="006136D7" w:rsidRPr="002811B9" w:rsidRDefault="006136D7" w:rsidP="006136D7">
      <w:pPr>
        <w:ind w:firstLine="709"/>
        <w:jc w:val="both"/>
        <w:rPr>
          <w:sz w:val="28"/>
          <w:szCs w:val="28"/>
        </w:rPr>
      </w:pPr>
      <w:r w:rsidRPr="002811B9">
        <w:rPr>
          <w:sz w:val="28"/>
          <w:szCs w:val="28"/>
        </w:rPr>
        <w:t>- если текст письменной жалобы не поддается прочтению (указанная жалоба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жалобы сообщается заявителю, направившему жалобу, если его фамилия (наименование объекта проверки) и почтовый (</w:t>
      </w:r>
      <w:proofErr w:type="gramStart"/>
      <w:r w:rsidRPr="002811B9">
        <w:rPr>
          <w:sz w:val="28"/>
          <w:szCs w:val="28"/>
        </w:rPr>
        <w:t xml:space="preserve">электронный) </w:t>
      </w:r>
      <w:proofErr w:type="gramEnd"/>
      <w:r w:rsidRPr="002811B9">
        <w:rPr>
          <w:sz w:val="28"/>
          <w:szCs w:val="28"/>
        </w:rPr>
        <w:t>адрес поддаются прочтению);</w:t>
      </w:r>
    </w:p>
    <w:p w:rsidR="006136D7" w:rsidRPr="002811B9" w:rsidRDefault="006136D7" w:rsidP="006136D7">
      <w:pPr>
        <w:ind w:firstLine="709"/>
        <w:jc w:val="both"/>
        <w:rPr>
          <w:sz w:val="28"/>
          <w:szCs w:val="28"/>
        </w:rPr>
      </w:pPr>
      <w:r w:rsidRPr="002811B9">
        <w:rPr>
          <w:sz w:val="28"/>
          <w:szCs w:val="28"/>
        </w:rPr>
        <w:t xml:space="preserve"> </w:t>
      </w:r>
      <w:proofErr w:type="gramStart"/>
      <w:r w:rsidRPr="002811B9">
        <w:rPr>
          <w:sz w:val="28"/>
          <w:szCs w:val="28"/>
        </w:rPr>
        <w:t>-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прекращения переписки с гражданином по</w:t>
      </w:r>
      <w:proofErr w:type="gramEnd"/>
      <w:r w:rsidRPr="002811B9">
        <w:rPr>
          <w:sz w:val="28"/>
          <w:szCs w:val="28"/>
        </w:rPr>
        <w:t xml:space="preserve">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6136D7" w:rsidRPr="002811B9" w:rsidRDefault="006136D7" w:rsidP="006136D7">
      <w:pPr>
        <w:ind w:firstLine="709"/>
        <w:jc w:val="both"/>
        <w:rPr>
          <w:sz w:val="28"/>
          <w:szCs w:val="28"/>
        </w:rPr>
      </w:pPr>
      <w:proofErr w:type="gramStart"/>
      <w:r w:rsidRPr="002811B9">
        <w:rPr>
          <w:sz w:val="28"/>
          <w:szCs w:val="28"/>
        </w:rPr>
        <w:t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  <w:proofErr w:type="gramEnd"/>
    </w:p>
    <w:p w:rsidR="006136D7" w:rsidRPr="002811B9" w:rsidRDefault="006136D7" w:rsidP="006136D7">
      <w:pPr>
        <w:ind w:firstLine="709"/>
        <w:jc w:val="both"/>
        <w:rPr>
          <w:sz w:val="28"/>
          <w:szCs w:val="28"/>
        </w:rPr>
      </w:pPr>
      <w:r w:rsidRPr="002811B9">
        <w:rPr>
          <w:sz w:val="28"/>
          <w:szCs w:val="28"/>
        </w:rPr>
        <w:t>В случае</w:t>
      </w:r>
      <w:proofErr w:type="gramStart"/>
      <w:r w:rsidRPr="002811B9">
        <w:rPr>
          <w:sz w:val="28"/>
          <w:szCs w:val="28"/>
        </w:rPr>
        <w:t>,</w:t>
      </w:r>
      <w:proofErr w:type="gramEnd"/>
      <w:r w:rsidRPr="002811B9">
        <w:rPr>
          <w:sz w:val="28"/>
          <w:szCs w:val="28"/>
        </w:rPr>
        <w:t xml:space="preserve">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соответствующий государственный орган, орган местного самоуправления или соответствующему должностному лицу.</w:t>
      </w:r>
    </w:p>
    <w:p w:rsidR="006136D7" w:rsidRPr="002811B9" w:rsidRDefault="006136D7" w:rsidP="006136D7">
      <w:pPr>
        <w:ind w:firstLine="709"/>
        <w:jc w:val="both"/>
        <w:rPr>
          <w:sz w:val="28"/>
          <w:szCs w:val="28"/>
        </w:rPr>
      </w:pPr>
      <w:r w:rsidRPr="002811B9">
        <w:rPr>
          <w:sz w:val="28"/>
          <w:szCs w:val="28"/>
        </w:rPr>
        <w:t>Жалоба, в которой обжалуется судебное решение, в течение семи дней со дня регистрации возвращается заявителю, направившему жалобу, с разъяснением порядка обжалования данного судебного решения</w:t>
      </w:r>
      <w:proofErr w:type="gramStart"/>
      <w:r w:rsidRPr="002811B9">
        <w:rPr>
          <w:sz w:val="28"/>
          <w:szCs w:val="28"/>
        </w:rPr>
        <w:t>.».</w:t>
      </w:r>
      <w:proofErr w:type="gramEnd"/>
    </w:p>
    <w:p w:rsidR="006136D7" w:rsidRPr="002811B9" w:rsidRDefault="006136D7" w:rsidP="006136D7">
      <w:pPr>
        <w:ind w:firstLine="709"/>
        <w:jc w:val="both"/>
        <w:rPr>
          <w:sz w:val="28"/>
          <w:szCs w:val="28"/>
        </w:rPr>
      </w:pPr>
    </w:p>
    <w:p w:rsidR="00291263" w:rsidRDefault="00291263" w:rsidP="00BD3B73">
      <w:pPr>
        <w:rPr>
          <w:b/>
          <w:sz w:val="28"/>
          <w:szCs w:val="28"/>
        </w:rPr>
      </w:pPr>
    </w:p>
    <w:p w:rsidR="00BD3B73" w:rsidRDefault="00BD3B73" w:rsidP="00BD3B73">
      <w:pPr>
        <w:rPr>
          <w:i/>
          <w:sz w:val="28"/>
          <w:szCs w:val="28"/>
        </w:rPr>
      </w:pPr>
      <w:r w:rsidRPr="002811B9">
        <w:rPr>
          <w:b/>
          <w:sz w:val="28"/>
          <w:szCs w:val="28"/>
        </w:rPr>
        <w:t xml:space="preserve">Министр </w:t>
      </w:r>
      <w:r w:rsidRPr="002811B9">
        <w:rPr>
          <w:b/>
          <w:sz w:val="28"/>
          <w:szCs w:val="28"/>
        </w:rPr>
        <w:tab/>
      </w:r>
      <w:r w:rsidRPr="002811B9">
        <w:rPr>
          <w:b/>
          <w:sz w:val="28"/>
          <w:szCs w:val="28"/>
        </w:rPr>
        <w:tab/>
      </w:r>
      <w:r w:rsidRPr="002811B9">
        <w:rPr>
          <w:b/>
          <w:sz w:val="28"/>
          <w:szCs w:val="28"/>
        </w:rPr>
        <w:tab/>
      </w:r>
      <w:r w:rsidRPr="002811B9">
        <w:rPr>
          <w:b/>
          <w:sz w:val="28"/>
          <w:szCs w:val="28"/>
        </w:rPr>
        <w:tab/>
        <w:t xml:space="preserve">    </w:t>
      </w:r>
      <w:r w:rsidRPr="002811B9">
        <w:rPr>
          <w:b/>
          <w:sz w:val="28"/>
          <w:szCs w:val="28"/>
        </w:rPr>
        <w:tab/>
      </w:r>
      <w:r w:rsidRPr="002811B9">
        <w:rPr>
          <w:b/>
          <w:sz w:val="28"/>
          <w:szCs w:val="28"/>
        </w:rPr>
        <w:tab/>
      </w:r>
      <w:r w:rsidRPr="002811B9">
        <w:rPr>
          <w:b/>
          <w:sz w:val="28"/>
          <w:szCs w:val="28"/>
        </w:rPr>
        <w:tab/>
      </w:r>
      <w:r w:rsidRPr="002811B9">
        <w:rPr>
          <w:b/>
          <w:sz w:val="28"/>
          <w:szCs w:val="28"/>
        </w:rPr>
        <w:tab/>
        <w:t xml:space="preserve">                   </w:t>
      </w:r>
      <w:r w:rsidR="003401F7" w:rsidRPr="002811B9">
        <w:rPr>
          <w:b/>
          <w:sz w:val="28"/>
          <w:szCs w:val="28"/>
        </w:rPr>
        <w:t xml:space="preserve"> </w:t>
      </w:r>
      <w:proofErr w:type="spellStart"/>
      <w:r w:rsidRPr="002811B9">
        <w:rPr>
          <w:b/>
          <w:sz w:val="28"/>
          <w:szCs w:val="28"/>
        </w:rPr>
        <w:t>А.М.Сибагатуллин</w:t>
      </w:r>
      <w:proofErr w:type="spellEnd"/>
    </w:p>
    <w:p w:rsidR="00BD3B73" w:rsidRDefault="00BD3B73" w:rsidP="00BD3B73">
      <w:pPr>
        <w:jc w:val="both"/>
        <w:rPr>
          <w:color w:val="000000"/>
          <w:sz w:val="28"/>
          <w:szCs w:val="28"/>
        </w:rPr>
      </w:pPr>
      <w:r>
        <w:rPr>
          <w:i/>
          <w:sz w:val="28"/>
          <w:szCs w:val="28"/>
        </w:rPr>
        <w:br w:type="page"/>
      </w:r>
    </w:p>
    <w:tbl>
      <w:tblPr>
        <w:tblpPr w:leftFromText="180" w:rightFromText="180" w:horzAnchor="margin" w:tblpY="744"/>
        <w:tblW w:w="10031" w:type="dxa"/>
        <w:tblLook w:val="01E0" w:firstRow="1" w:lastRow="1" w:firstColumn="1" w:lastColumn="1" w:noHBand="0" w:noVBand="0"/>
      </w:tblPr>
      <w:tblGrid>
        <w:gridCol w:w="7400"/>
        <w:gridCol w:w="2631"/>
      </w:tblGrid>
      <w:tr w:rsidR="00BD3B73" w:rsidRPr="00DA0D88" w:rsidTr="00A05B26">
        <w:tc>
          <w:tcPr>
            <w:tcW w:w="7400" w:type="dxa"/>
            <w:shd w:val="clear" w:color="auto" w:fill="auto"/>
          </w:tcPr>
          <w:p w:rsidR="00BD3B73" w:rsidRPr="00DA0D88" w:rsidRDefault="00BD3B73" w:rsidP="00A05B26">
            <w:pPr>
              <w:pStyle w:val="2"/>
              <w:rPr>
                <w:i w:val="0"/>
                <w:color w:val="auto"/>
                <w:sz w:val="28"/>
                <w:szCs w:val="28"/>
              </w:rPr>
            </w:pPr>
            <w:r w:rsidRPr="00DA0D88">
              <w:rPr>
                <w:i w:val="0"/>
                <w:color w:val="auto"/>
                <w:sz w:val="28"/>
                <w:szCs w:val="28"/>
              </w:rPr>
              <w:lastRenderedPageBreak/>
              <w:t>Приказ подготовлен:</w:t>
            </w:r>
          </w:p>
          <w:p w:rsidR="00BD3B73" w:rsidRPr="00DA0D88" w:rsidRDefault="00BD3B73" w:rsidP="00A05B26">
            <w:pPr>
              <w:rPr>
                <w:sz w:val="28"/>
                <w:szCs w:val="28"/>
              </w:rPr>
            </w:pPr>
          </w:p>
        </w:tc>
        <w:tc>
          <w:tcPr>
            <w:tcW w:w="2631" w:type="dxa"/>
            <w:shd w:val="clear" w:color="auto" w:fill="auto"/>
          </w:tcPr>
          <w:p w:rsidR="00BD3B73" w:rsidRPr="00DA0D88" w:rsidRDefault="00BD3B73" w:rsidP="00A05B26">
            <w:pPr>
              <w:jc w:val="right"/>
              <w:rPr>
                <w:sz w:val="28"/>
                <w:szCs w:val="28"/>
              </w:rPr>
            </w:pPr>
          </w:p>
        </w:tc>
      </w:tr>
      <w:tr w:rsidR="00BD3B73" w:rsidRPr="00DA0D88" w:rsidTr="00A05B26">
        <w:tc>
          <w:tcPr>
            <w:tcW w:w="7400" w:type="dxa"/>
            <w:shd w:val="clear" w:color="auto" w:fill="auto"/>
          </w:tcPr>
          <w:p w:rsidR="00BD3B73" w:rsidRPr="00DA0D88" w:rsidRDefault="00BD3B73" w:rsidP="00A05B26">
            <w:pPr>
              <w:rPr>
                <w:sz w:val="28"/>
                <w:szCs w:val="28"/>
              </w:rPr>
            </w:pPr>
            <w:r w:rsidRPr="00DA0D88">
              <w:rPr>
                <w:sz w:val="28"/>
                <w:szCs w:val="28"/>
              </w:rPr>
              <w:t xml:space="preserve">Ведущий </w:t>
            </w:r>
            <w:r w:rsidR="00957C26">
              <w:rPr>
                <w:sz w:val="28"/>
                <w:szCs w:val="28"/>
              </w:rPr>
              <w:t>советник</w:t>
            </w:r>
          </w:p>
          <w:p w:rsidR="00BD3B73" w:rsidRPr="00DA0D88" w:rsidRDefault="00BD3B73" w:rsidP="00A05B26">
            <w:pPr>
              <w:rPr>
                <w:sz w:val="28"/>
                <w:szCs w:val="28"/>
              </w:rPr>
            </w:pPr>
            <w:r w:rsidRPr="00DA0D88">
              <w:rPr>
                <w:sz w:val="28"/>
                <w:szCs w:val="28"/>
              </w:rPr>
              <w:t>отдела развития музейного дела</w:t>
            </w:r>
          </w:p>
          <w:p w:rsidR="00BD3B73" w:rsidRDefault="00BD3B73" w:rsidP="00A05B26">
            <w:pPr>
              <w:rPr>
                <w:sz w:val="28"/>
                <w:szCs w:val="28"/>
              </w:rPr>
            </w:pPr>
          </w:p>
          <w:p w:rsidR="008E29D1" w:rsidRPr="00DA0D88" w:rsidRDefault="008E29D1" w:rsidP="00A05B26">
            <w:pPr>
              <w:rPr>
                <w:sz w:val="28"/>
                <w:szCs w:val="28"/>
              </w:rPr>
            </w:pPr>
          </w:p>
        </w:tc>
        <w:tc>
          <w:tcPr>
            <w:tcW w:w="2631" w:type="dxa"/>
            <w:shd w:val="clear" w:color="auto" w:fill="auto"/>
          </w:tcPr>
          <w:p w:rsidR="00BD3B73" w:rsidRPr="00DA0D88" w:rsidRDefault="00BD3B73" w:rsidP="00A05B26">
            <w:pPr>
              <w:jc w:val="right"/>
              <w:rPr>
                <w:sz w:val="28"/>
                <w:szCs w:val="28"/>
              </w:rPr>
            </w:pPr>
          </w:p>
          <w:p w:rsidR="00BD3B73" w:rsidRPr="00DA0D88" w:rsidRDefault="00957C26" w:rsidP="00A05B26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Г.Р.Мингазов</w:t>
            </w:r>
            <w:r w:rsidR="008E29D1">
              <w:rPr>
                <w:sz w:val="28"/>
                <w:szCs w:val="28"/>
              </w:rPr>
              <w:t>а</w:t>
            </w:r>
            <w:proofErr w:type="spellEnd"/>
          </w:p>
          <w:p w:rsidR="00BD3B73" w:rsidRPr="00DA0D88" w:rsidRDefault="00BD3B73" w:rsidP="00A05B26">
            <w:pPr>
              <w:jc w:val="right"/>
              <w:rPr>
                <w:sz w:val="28"/>
                <w:szCs w:val="28"/>
              </w:rPr>
            </w:pPr>
          </w:p>
        </w:tc>
      </w:tr>
      <w:tr w:rsidR="00BD3B73" w:rsidRPr="00DA0D88" w:rsidTr="00A05B26">
        <w:tc>
          <w:tcPr>
            <w:tcW w:w="7400" w:type="dxa"/>
            <w:shd w:val="clear" w:color="auto" w:fill="auto"/>
          </w:tcPr>
          <w:p w:rsidR="00BD3B73" w:rsidRPr="00134630" w:rsidRDefault="00BD3B73" w:rsidP="00A05B26">
            <w:pPr>
              <w:rPr>
                <w:sz w:val="28"/>
                <w:szCs w:val="28"/>
              </w:rPr>
            </w:pPr>
            <w:r w:rsidRPr="00134630">
              <w:rPr>
                <w:sz w:val="28"/>
                <w:szCs w:val="28"/>
              </w:rPr>
              <w:t>Согласовано:</w:t>
            </w:r>
          </w:p>
          <w:p w:rsidR="00BD3B73" w:rsidRPr="00134630" w:rsidRDefault="00BD3B73" w:rsidP="00A05B26">
            <w:pPr>
              <w:rPr>
                <w:sz w:val="28"/>
                <w:szCs w:val="28"/>
              </w:rPr>
            </w:pPr>
          </w:p>
          <w:p w:rsidR="00BD3B73" w:rsidRPr="00134630" w:rsidRDefault="00BD3B73" w:rsidP="00A05B26">
            <w:pPr>
              <w:rPr>
                <w:sz w:val="28"/>
                <w:szCs w:val="28"/>
              </w:rPr>
            </w:pPr>
          </w:p>
          <w:p w:rsidR="00B115FC" w:rsidRDefault="00291263" w:rsidP="00B115FC">
            <w:pPr>
              <w:jc w:val="both"/>
              <w:rPr>
                <w:sz w:val="28"/>
              </w:rPr>
            </w:pPr>
            <w:r>
              <w:rPr>
                <w:sz w:val="28"/>
              </w:rPr>
              <w:t>Первый з</w:t>
            </w:r>
            <w:r w:rsidR="00BD3B73" w:rsidRPr="00134630">
              <w:rPr>
                <w:sz w:val="28"/>
              </w:rPr>
              <w:t>аместитель министра</w:t>
            </w:r>
          </w:p>
          <w:p w:rsidR="00B115FC" w:rsidRDefault="00B115FC" w:rsidP="00B115FC">
            <w:pPr>
              <w:jc w:val="both"/>
              <w:rPr>
                <w:sz w:val="28"/>
              </w:rPr>
            </w:pPr>
          </w:p>
          <w:p w:rsidR="00B115FC" w:rsidRPr="00B115FC" w:rsidRDefault="00B115FC" w:rsidP="00B115FC">
            <w:pPr>
              <w:jc w:val="both"/>
              <w:rPr>
                <w:sz w:val="28"/>
              </w:rPr>
            </w:pPr>
            <w:r w:rsidRPr="00B115FC">
              <w:rPr>
                <w:sz w:val="28"/>
              </w:rPr>
              <w:t xml:space="preserve">Начальник отдела </w:t>
            </w:r>
          </w:p>
          <w:p w:rsidR="00B115FC" w:rsidRPr="00B115FC" w:rsidRDefault="00B115FC" w:rsidP="00B115FC">
            <w:pPr>
              <w:jc w:val="both"/>
              <w:rPr>
                <w:sz w:val="28"/>
              </w:rPr>
            </w:pPr>
            <w:r w:rsidRPr="00B115FC">
              <w:rPr>
                <w:sz w:val="28"/>
              </w:rPr>
              <w:t xml:space="preserve">развития музейного дела </w:t>
            </w:r>
            <w:r w:rsidR="00BD3B73" w:rsidRPr="00134630">
              <w:rPr>
                <w:sz w:val="28"/>
              </w:rPr>
              <w:t xml:space="preserve">                                                          </w:t>
            </w:r>
          </w:p>
        </w:tc>
        <w:tc>
          <w:tcPr>
            <w:tcW w:w="2631" w:type="dxa"/>
            <w:shd w:val="clear" w:color="auto" w:fill="auto"/>
          </w:tcPr>
          <w:p w:rsidR="00BD3B73" w:rsidRPr="00134630" w:rsidRDefault="00BD3B73" w:rsidP="00A05B26">
            <w:pPr>
              <w:jc w:val="right"/>
              <w:rPr>
                <w:sz w:val="28"/>
                <w:szCs w:val="28"/>
              </w:rPr>
            </w:pPr>
            <w:r w:rsidRPr="00134630">
              <w:rPr>
                <w:sz w:val="28"/>
                <w:szCs w:val="28"/>
              </w:rPr>
              <w:t xml:space="preserve">      </w:t>
            </w:r>
          </w:p>
          <w:p w:rsidR="00BD3B73" w:rsidRPr="00134630" w:rsidRDefault="00BD3B73" w:rsidP="00A05B26">
            <w:pPr>
              <w:jc w:val="right"/>
              <w:rPr>
                <w:sz w:val="28"/>
                <w:szCs w:val="28"/>
              </w:rPr>
            </w:pPr>
          </w:p>
          <w:p w:rsidR="00BD3B73" w:rsidRPr="00134630" w:rsidRDefault="00BD3B73" w:rsidP="00A05B26">
            <w:pPr>
              <w:jc w:val="right"/>
              <w:rPr>
                <w:sz w:val="28"/>
                <w:szCs w:val="28"/>
              </w:rPr>
            </w:pPr>
          </w:p>
          <w:p w:rsidR="00BD3B73" w:rsidRDefault="00291263" w:rsidP="00A05B26">
            <w:pPr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Э.Р.Камал</w:t>
            </w:r>
            <w:r w:rsidR="008E29D1">
              <w:rPr>
                <w:sz w:val="28"/>
              </w:rPr>
              <w:t>ова</w:t>
            </w:r>
            <w:proofErr w:type="spellEnd"/>
          </w:p>
          <w:p w:rsidR="00B115FC" w:rsidRDefault="00B115FC" w:rsidP="00A05B26">
            <w:pPr>
              <w:jc w:val="right"/>
              <w:rPr>
                <w:sz w:val="28"/>
              </w:rPr>
            </w:pPr>
          </w:p>
          <w:p w:rsidR="00B115FC" w:rsidRDefault="00B115FC" w:rsidP="00A05B26">
            <w:pPr>
              <w:jc w:val="right"/>
              <w:rPr>
                <w:sz w:val="28"/>
                <w:szCs w:val="28"/>
              </w:rPr>
            </w:pPr>
          </w:p>
          <w:p w:rsidR="00B115FC" w:rsidRPr="00134630" w:rsidRDefault="00B115FC" w:rsidP="00A05B26">
            <w:pPr>
              <w:jc w:val="right"/>
              <w:rPr>
                <w:sz w:val="28"/>
                <w:szCs w:val="28"/>
              </w:rPr>
            </w:pPr>
            <w:proofErr w:type="spellStart"/>
            <w:r w:rsidRPr="00B115FC">
              <w:rPr>
                <w:sz w:val="28"/>
                <w:szCs w:val="28"/>
              </w:rPr>
              <w:t>Д.Д.Натфуллин</w:t>
            </w:r>
            <w:proofErr w:type="spellEnd"/>
          </w:p>
        </w:tc>
      </w:tr>
      <w:tr w:rsidR="00BD3B73" w:rsidRPr="00DA0D88" w:rsidTr="00A05B26">
        <w:tc>
          <w:tcPr>
            <w:tcW w:w="7400" w:type="dxa"/>
            <w:shd w:val="clear" w:color="auto" w:fill="auto"/>
          </w:tcPr>
          <w:p w:rsidR="00957C26" w:rsidRPr="00B115FC" w:rsidRDefault="00957C26" w:rsidP="00B115FC">
            <w:pPr>
              <w:tabs>
                <w:tab w:val="left" w:pos="946"/>
              </w:tabs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631" w:type="dxa"/>
            <w:shd w:val="clear" w:color="auto" w:fill="auto"/>
          </w:tcPr>
          <w:p w:rsidR="00BD3B73" w:rsidRPr="00DA0D88" w:rsidRDefault="00BD3B73" w:rsidP="00A05B26">
            <w:pPr>
              <w:jc w:val="right"/>
              <w:rPr>
                <w:sz w:val="28"/>
                <w:szCs w:val="28"/>
              </w:rPr>
            </w:pPr>
          </w:p>
          <w:p w:rsidR="00BD3B73" w:rsidRPr="00DA0D88" w:rsidRDefault="00BD3B73" w:rsidP="00A05B26">
            <w:pPr>
              <w:jc w:val="right"/>
              <w:rPr>
                <w:sz w:val="28"/>
                <w:szCs w:val="28"/>
              </w:rPr>
            </w:pPr>
          </w:p>
        </w:tc>
      </w:tr>
      <w:tr w:rsidR="00BD3B73" w:rsidRPr="00DA0D88" w:rsidTr="00A05B26">
        <w:tc>
          <w:tcPr>
            <w:tcW w:w="7400" w:type="dxa"/>
            <w:shd w:val="clear" w:color="auto" w:fill="auto"/>
          </w:tcPr>
          <w:p w:rsidR="00BD3B73" w:rsidRPr="00DA0D88" w:rsidRDefault="00B115FC" w:rsidP="00A05B26">
            <w:pPr>
              <w:rPr>
                <w:sz w:val="28"/>
                <w:szCs w:val="28"/>
              </w:rPr>
            </w:pPr>
            <w:r w:rsidRPr="00B115FC">
              <w:rPr>
                <w:sz w:val="28"/>
                <w:szCs w:val="28"/>
              </w:rPr>
              <w:t>Начальник юридического отдела</w:t>
            </w:r>
          </w:p>
        </w:tc>
        <w:tc>
          <w:tcPr>
            <w:tcW w:w="2631" w:type="dxa"/>
            <w:shd w:val="clear" w:color="auto" w:fill="auto"/>
          </w:tcPr>
          <w:p w:rsidR="00BD3B73" w:rsidRPr="00DA0D88" w:rsidRDefault="00B115FC" w:rsidP="00A05B26">
            <w:pPr>
              <w:jc w:val="right"/>
              <w:rPr>
                <w:sz w:val="28"/>
                <w:szCs w:val="28"/>
              </w:rPr>
            </w:pPr>
            <w:proofErr w:type="spellStart"/>
            <w:r w:rsidRPr="00B115FC">
              <w:rPr>
                <w:sz w:val="28"/>
                <w:szCs w:val="28"/>
              </w:rPr>
              <w:t>А.А.Сулейманова</w:t>
            </w:r>
            <w:proofErr w:type="spellEnd"/>
          </w:p>
          <w:p w:rsidR="00BD3B73" w:rsidRPr="00DA0D88" w:rsidRDefault="00BD3B73" w:rsidP="00A05B26">
            <w:pPr>
              <w:jc w:val="right"/>
              <w:rPr>
                <w:sz w:val="28"/>
                <w:szCs w:val="28"/>
              </w:rPr>
            </w:pPr>
          </w:p>
        </w:tc>
      </w:tr>
      <w:tr w:rsidR="00BD3B73" w:rsidRPr="00DA0D88" w:rsidTr="00A05B26">
        <w:tc>
          <w:tcPr>
            <w:tcW w:w="7400" w:type="dxa"/>
            <w:shd w:val="clear" w:color="auto" w:fill="auto"/>
          </w:tcPr>
          <w:p w:rsidR="00BD3B73" w:rsidRPr="00DA0D88" w:rsidRDefault="00BD3B73" w:rsidP="00A05B26">
            <w:pPr>
              <w:rPr>
                <w:sz w:val="28"/>
                <w:szCs w:val="28"/>
              </w:rPr>
            </w:pPr>
          </w:p>
        </w:tc>
        <w:tc>
          <w:tcPr>
            <w:tcW w:w="2631" w:type="dxa"/>
            <w:shd w:val="clear" w:color="auto" w:fill="auto"/>
          </w:tcPr>
          <w:p w:rsidR="00BD3B73" w:rsidRPr="00DA0D88" w:rsidRDefault="00BD3B73" w:rsidP="00A05B26">
            <w:pPr>
              <w:jc w:val="right"/>
              <w:rPr>
                <w:sz w:val="28"/>
                <w:szCs w:val="28"/>
              </w:rPr>
            </w:pPr>
          </w:p>
        </w:tc>
      </w:tr>
      <w:tr w:rsidR="00BD3B73" w:rsidRPr="00DA0D88" w:rsidTr="00A05B26">
        <w:tc>
          <w:tcPr>
            <w:tcW w:w="7400" w:type="dxa"/>
            <w:shd w:val="clear" w:color="auto" w:fill="auto"/>
          </w:tcPr>
          <w:p w:rsidR="00BD3B73" w:rsidRPr="00DA0D88" w:rsidRDefault="00BD3B73" w:rsidP="00A05B26">
            <w:pPr>
              <w:rPr>
                <w:sz w:val="28"/>
                <w:szCs w:val="28"/>
              </w:rPr>
            </w:pPr>
          </w:p>
          <w:p w:rsidR="00BD3B73" w:rsidRPr="00DA0D88" w:rsidRDefault="00BD3B73" w:rsidP="00A05B26">
            <w:pPr>
              <w:rPr>
                <w:sz w:val="28"/>
                <w:szCs w:val="28"/>
              </w:rPr>
            </w:pPr>
          </w:p>
        </w:tc>
        <w:tc>
          <w:tcPr>
            <w:tcW w:w="2631" w:type="dxa"/>
            <w:shd w:val="clear" w:color="auto" w:fill="auto"/>
          </w:tcPr>
          <w:p w:rsidR="00BD3B73" w:rsidRPr="00DA0D88" w:rsidRDefault="00BD3B73" w:rsidP="00A05B26">
            <w:pPr>
              <w:rPr>
                <w:sz w:val="28"/>
                <w:szCs w:val="28"/>
              </w:rPr>
            </w:pPr>
            <w:r w:rsidRPr="00DA0D88">
              <w:rPr>
                <w:sz w:val="28"/>
                <w:szCs w:val="28"/>
              </w:rPr>
              <w:t xml:space="preserve"> </w:t>
            </w:r>
          </w:p>
          <w:p w:rsidR="00BD3B73" w:rsidRPr="00DA0D88" w:rsidRDefault="00BD3B73" w:rsidP="00A05B26">
            <w:pPr>
              <w:jc w:val="right"/>
              <w:rPr>
                <w:sz w:val="28"/>
                <w:szCs w:val="28"/>
              </w:rPr>
            </w:pPr>
          </w:p>
        </w:tc>
      </w:tr>
    </w:tbl>
    <w:p w:rsidR="00BD3B73" w:rsidRDefault="00BD3B73" w:rsidP="00BD3B73">
      <w:pPr>
        <w:widowControl/>
        <w:autoSpaceDE/>
        <w:autoSpaceDN/>
        <w:adjustRightInd/>
        <w:spacing w:after="200" w:line="276" w:lineRule="auto"/>
        <w:rPr>
          <w:color w:val="000000"/>
          <w:sz w:val="28"/>
          <w:szCs w:val="28"/>
        </w:rPr>
      </w:pPr>
    </w:p>
    <w:p w:rsidR="00BD3B73" w:rsidRDefault="00BD3B73" w:rsidP="00BD3B73">
      <w:pPr>
        <w:widowControl/>
        <w:autoSpaceDE/>
        <w:autoSpaceDN/>
        <w:adjustRightInd/>
        <w:spacing w:after="200" w:line="276" w:lineRule="auto"/>
        <w:rPr>
          <w:color w:val="000000"/>
          <w:sz w:val="28"/>
          <w:szCs w:val="28"/>
        </w:rPr>
      </w:pPr>
    </w:p>
    <w:p w:rsidR="00BD3B73" w:rsidRDefault="00BD3B73" w:rsidP="00BD3B73">
      <w:pPr>
        <w:widowControl/>
        <w:autoSpaceDE/>
        <w:autoSpaceDN/>
        <w:adjustRightInd/>
        <w:spacing w:after="200" w:line="276" w:lineRule="auto"/>
        <w:rPr>
          <w:color w:val="000000"/>
          <w:sz w:val="28"/>
          <w:szCs w:val="28"/>
        </w:rPr>
      </w:pPr>
    </w:p>
    <w:p w:rsidR="00BD3B73" w:rsidRDefault="00BD3B73" w:rsidP="00BD3B73">
      <w:pPr>
        <w:widowControl/>
        <w:autoSpaceDE/>
        <w:autoSpaceDN/>
        <w:adjustRightInd/>
        <w:spacing w:after="200" w:line="276" w:lineRule="auto"/>
        <w:rPr>
          <w:color w:val="000000"/>
          <w:sz w:val="28"/>
          <w:szCs w:val="28"/>
        </w:rPr>
      </w:pPr>
    </w:p>
    <w:p w:rsidR="00BD3B73" w:rsidRDefault="00BD3B73" w:rsidP="00BD3B73">
      <w:pPr>
        <w:widowControl/>
        <w:autoSpaceDE/>
        <w:autoSpaceDN/>
        <w:adjustRightInd/>
        <w:spacing w:after="200" w:line="276" w:lineRule="auto"/>
        <w:rPr>
          <w:color w:val="000000"/>
          <w:sz w:val="28"/>
          <w:szCs w:val="28"/>
        </w:rPr>
      </w:pPr>
    </w:p>
    <w:p w:rsidR="00BD3B73" w:rsidRDefault="00BD3B73" w:rsidP="00BD3B73">
      <w:pPr>
        <w:widowControl/>
        <w:autoSpaceDE/>
        <w:autoSpaceDN/>
        <w:adjustRightInd/>
        <w:spacing w:after="200" w:line="276" w:lineRule="auto"/>
        <w:rPr>
          <w:color w:val="000000"/>
          <w:sz w:val="28"/>
          <w:szCs w:val="28"/>
        </w:rPr>
      </w:pPr>
    </w:p>
    <w:p w:rsidR="00BD3B73" w:rsidRDefault="00BD3B73" w:rsidP="00BD3B73">
      <w:pPr>
        <w:widowControl/>
        <w:autoSpaceDE/>
        <w:autoSpaceDN/>
        <w:adjustRightInd/>
        <w:spacing w:after="200" w:line="276" w:lineRule="auto"/>
        <w:rPr>
          <w:color w:val="000000"/>
          <w:sz w:val="28"/>
          <w:szCs w:val="28"/>
        </w:rPr>
      </w:pPr>
    </w:p>
    <w:p w:rsidR="00BD3B73" w:rsidRDefault="00BD3B73" w:rsidP="00BD3B73">
      <w:pPr>
        <w:widowControl/>
        <w:autoSpaceDE/>
        <w:autoSpaceDN/>
        <w:adjustRightInd/>
        <w:spacing w:after="200" w:line="276" w:lineRule="auto"/>
        <w:rPr>
          <w:color w:val="000000"/>
          <w:sz w:val="28"/>
          <w:szCs w:val="28"/>
        </w:rPr>
      </w:pPr>
    </w:p>
    <w:p w:rsidR="00BD3B73" w:rsidRDefault="00BD3B73" w:rsidP="00BD3B73">
      <w:pPr>
        <w:widowControl/>
        <w:autoSpaceDE/>
        <w:autoSpaceDN/>
        <w:adjustRightInd/>
        <w:spacing w:after="200" w:line="276" w:lineRule="auto"/>
        <w:rPr>
          <w:color w:val="000000"/>
          <w:sz w:val="28"/>
          <w:szCs w:val="28"/>
        </w:rPr>
      </w:pPr>
    </w:p>
    <w:p w:rsidR="00BD3B73" w:rsidRDefault="00BD3B73" w:rsidP="00BD3B73">
      <w:pPr>
        <w:widowControl/>
        <w:autoSpaceDE/>
        <w:autoSpaceDN/>
        <w:adjustRightInd/>
        <w:spacing w:after="200" w:line="276" w:lineRule="auto"/>
        <w:rPr>
          <w:color w:val="000000"/>
          <w:sz w:val="28"/>
          <w:szCs w:val="28"/>
        </w:rPr>
      </w:pPr>
    </w:p>
    <w:p w:rsidR="00BD3B73" w:rsidRDefault="00BD3B73" w:rsidP="00BD3B73">
      <w:pPr>
        <w:widowControl/>
        <w:autoSpaceDE/>
        <w:autoSpaceDN/>
        <w:adjustRightInd/>
        <w:spacing w:after="200" w:line="276" w:lineRule="auto"/>
        <w:rPr>
          <w:color w:val="000000"/>
          <w:sz w:val="28"/>
          <w:szCs w:val="28"/>
        </w:rPr>
      </w:pPr>
    </w:p>
    <w:p w:rsidR="00BD3B73" w:rsidRDefault="00BD3B73" w:rsidP="00BD3B73">
      <w:pPr>
        <w:tabs>
          <w:tab w:val="left" w:pos="6379"/>
        </w:tabs>
        <w:ind w:left="6379" w:hanging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BD3B73" w:rsidRDefault="00BD3B73" w:rsidP="00BD3B73">
      <w:pPr>
        <w:widowControl/>
        <w:autoSpaceDE/>
        <w:autoSpaceDN/>
        <w:adjustRightInd/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2A3EA9" w:rsidRPr="003F0981" w:rsidRDefault="00BD3B73" w:rsidP="002A3EA9">
      <w:pPr>
        <w:tabs>
          <w:tab w:val="left" w:pos="6379"/>
        </w:tabs>
        <w:ind w:left="6379" w:hanging="567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</w:p>
    <w:sectPr w:rsidR="002A3EA9" w:rsidRPr="003F0981" w:rsidSect="003401F7">
      <w:pgSz w:w="11909" w:h="16834"/>
      <w:pgMar w:top="851" w:right="567" w:bottom="1134" w:left="1134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F697E"/>
    <w:multiLevelType w:val="hybridMultilevel"/>
    <w:tmpl w:val="C9BCD084"/>
    <w:lvl w:ilvl="0" w:tplc="EDF2FF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14D5F"/>
    <w:multiLevelType w:val="hybridMultilevel"/>
    <w:tmpl w:val="9AB6D8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04C1ECB"/>
    <w:multiLevelType w:val="hybridMultilevel"/>
    <w:tmpl w:val="CBAE5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36256D"/>
    <w:multiLevelType w:val="hybridMultilevel"/>
    <w:tmpl w:val="F8F8E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B73"/>
    <w:rsid w:val="000126B3"/>
    <w:rsid w:val="00033EAD"/>
    <w:rsid w:val="00074660"/>
    <w:rsid w:val="000956FE"/>
    <w:rsid w:val="00162283"/>
    <w:rsid w:val="0018413E"/>
    <w:rsid w:val="001A78A6"/>
    <w:rsid w:val="001F1E7B"/>
    <w:rsid w:val="001F77C2"/>
    <w:rsid w:val="0020760C"/>
    <w:rsid w:val="00220791"/>
    <w:rsid w:val="00251E94"/>
    <w:rsid w:val="002811B9"/>
    <w:rsid w:val="00291263"/>
    <w:rsid w:val="002A3EA9"/>
    <w:rsid w:val="002F4AC0"/>
    <w:rsid w:val="003104F3"/>
    <w:rsid w:val="003401F7"/>
    <w:rsid w:val="00355037"/>
    <w:rsid w:val="003C3DDB"/>
    <w:rsid w:val="003F0981"/>
    <w:rsid w:val="00465031"/>
    <w:rsid w:val="004D6F59"/>
    <w:rsid w:val="004F3B6D"/>
    <w:rsid w:val="00564136"/>
    <w:rsid w:val="005702DB"/>
    <w:rsid w:val="00580044"/>
    <w:rsid w:val="005A47FE"/>
    <w:rsid w:val="00612536"/>
    <w:rsid w:val="0061362C"/>
    <w:rsid w:val="006136D7"/>
    <w:rsid w:val="0062207D"/>
    <w:rsid w:val="006464B3"/>
    <w:rsid w:val="00647CD5"/>
    <w:rsid w:val="00667ED6"/>
    <w:rsid w:val="00693FB1"/>
    <w:rsid w:val="006E7C5D"/>
    <w:rsid w:val="00705A77"/>
    <w:rsid w:val="00772070"/>
    <w:rsid w:val="007B4192"/>
    <w:rsid w:val="007C208B"/>
    <w:rsid w:val="00837D3A"/>
    <w:rsid w:val="00870035"/>
    <w:rsid w:val="008E29D1"/>
    <w:rsid w:val="00957C26"/>
    <w:rsid w:val="00A05B26"/>
    <w:rsid w:val="00A825B5"/>
    <w:rsid w:val="00AB5615"/>
    <w:rsid w:val="00B115FC"/>
    <w:rsid w:val="00B21E8F"/>
    <w:rsid w:val="00B37FD0"/>
    <w:rsid w:val="00B47612"/>
    <w:rsid w:val="00BD3B73"/>
    <w:rsid w:val="00BD6762"/>
    <w:rsid w:val="00C02EAF"/>
    <w:rsid w:val="00C51BA2"/>
    <w:rsid w:val="00C65253"/>
    <w:rsid w:val="00CF47D9"/>
    <w:rsid w:val="00D13892"/>
    <w:rsid w:val="00DA0C0B"/>
    <w:rsid w:val="00E12D1B"/>
    <w:rsid w:val="00E57605"/>
    <w:rsid w:val="00EB2D47"/>
    <w:rsid w:val="00F2644C"/>
    <w:rsid w:val="00FC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B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B73"/>
    <w:pPr>
      <w:ind w:left="720"/>
      <w:contextualSpacing/>
    </w:pPr>
  </w:style>
  <w:style w:type="table" w:styleId="a4">
    <w:name w:val="Table Grid"/>
    <w:basedOn w:val="a1"/>
    <w:uiPriority w:val="59"/>
    <w:rsid w:val="00BD3B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Quote"/>
    <w:basedOn w:val="a"/>
    <w:next w:val="a"/>
    <w:link w:val="20"/>
    <w:uiPriority w:val="29"/>
    <w:qFormat/>
    <w:rsid w:val="00BD3B73"/>
    <w:pPr>
      <w:widowControl/>
      <w:autoSpaceDE/>
      <w:autoSpaceDN/>
      <w:adjustRightInd/>
    </w:pPr>
    <w:rPr>
      <w:i/>
      <w:iCs/>
      <w:color w:val="000000"/>
      <w:sz w:val="24"/>
      <w:szCs w:val="24"/>
    </w:rPr>
  </w:style>
  <w:style w:type="character" w:customStyle="1" w:styleId="20">
    <w:name w:val="Цитата 2 Знак"/>
    <w:basedOn w:val="a0"/>
    <w:link w:val="2"/>
    <w:uiPriority w:val="29"/>
    <w:rsid w:val="00BD3B73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125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2536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uiPriority w:val="59"/>
    <w:rsid w:val="002A3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B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B73"/>
    <w:pPr>
      <w:ind w:left="720"/>
      <w:contextualSpacing/>
    </w:pPr>
  </w:style>
  <w:style w:type="table" w:styleId="a4">
    <w:name w:val="Table Grid"/>
    <w:basedOn w:val="a1"/>
    <w:uiPriority w:val="59"/>
    <w:rsid w:val="00BD3B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Quote"/>
    <w:basedOn w:val="a"/>
    <w:next w:val="a"/>
    <w:link w:val="20"/>
    <w:uiPriority w:val="29"/>
    <w:qFormat/>
    <w:rsid w:val="00BD3B73"/>
    <w:pPr>
      <w:widowControl/>
      <w:autoSpaceDE/>
      <w:autoSpaceDN/>
      <w:adjustRightInd/>
    </w:pPr>
    <w:rPr>
      <w:i/>
      <w:iCs/>
      <w:color w:val="000000"/>
      <w:sz w:val="24"/>
      <w:szCs w:val="24"/>
    </w:rPr>
  </w:style>
  <w:style w:type="character" w:customStyle="1" w:styleId="20">
    <w:name w:val="Цитата 2 Знак"/>
    <w:basedOn w:val="a0"/>
    <w:link w:val="2"/>
    <w:uiPriority w:val="29"/>
    <w:rsid w:val="00BD3B73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125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2536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uiPriority w:val="59"/>
    <w:rsid w:val="002A3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1614</TotalTime>
  <Pages>5</Pages>
  <Words>1146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7664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 Мубаракшина</dc:creator>
  <cp:lastModifiedBy>Гузель Р. Юсуфзянова</cp:lastModifiedBy>
  <cp:revision>18</cp:revision>
  <cp:lastPrinted>2017-08-18T13:18:00Z</cp:lastPrinted>
  <dcterms:created xsi:type="dcterms:W3CDTF">2015-06-08T14:06:00Z</dcterms:created>
  <dcterms:modified xsi:type="dcterms:W3CDTF">2017-08-18T13:38:00Z</dcterms:modified>
</cp:coreProperties>
</file>