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AC6FAD">
      <w:pPr>
        <w:tabs>
          <w:tab w:val="left" w:pos="4536"/>
        </w:tabs>
        <w:spacing w:after="0" w:line="240" w:lineRule="auto"/>
        <w:ind w:right="4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Казанской Божьей матери, 1812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Алексеевский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муниципальный район, </w:t>
      </w:r>
      <w:proofErr w:type="spellStart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Ерыклинское</w:t>
      </w:r>
      <w:proofErr w:type="spellEnd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поселение, </w:t>
      </w:r>
      <w:proofErr w:type="spellStart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.М</w:t>
      </w:r>
      <w:proofErr w:type="gramEnd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араса</w:t>
      </w:r>
      <w:proofErr w:type="spellEnd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ул.Совхозная</w:t>
      </w:r>
      <w:proofErr w:type="spellEnd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д.18а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AC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Казанской Божьей матери, 1812 г.</w:t>
      </w:r>
      <w:r w:rsidR="00504B4D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504B4D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Алексеевский</w:t>
      </w:r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4B4D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муниципальный район, </w:t>
      </w:r>
      <w:proofErr w:type="spellStart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Ерыклинское</w:t>
      </w:r>
      <w:proofErr w:type="spellEnd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поселение, </w:t>
      </w:r>
      <w:proofErr w:type="spellStart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.М</w:t>
      </w:r>
      <w:proofErr w:type="gramEnd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араса</w:t>
      </w:r>
      <w:proofErr w:type="spellEnd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ул.Совхозная</w:t>
      </w:r>
      <w:proofErr w:type="spellEnd"/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д.18а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lastRenderedPageBreak/>
        <w:t xml:space="preserve">Приложение № </w:t>
      </w:r>
      <w:r w:rsidR="006F097C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DC1E81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16625" cy="480847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480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2464"/>
        <w:gridCol w:w="2551"/>
        <w:gridCol w:w="2410"/>
        <w:gridCol w:w="2389"/>
      </w:tblGrid>
      <w:tr w:rsidR="002073D6" w:rsidRPr="00240B4A" w:rsidTr="002073D6">
        <w:trPr>
          <w:trHeight w:val="32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331E95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2073D6" w:rsidRPr="00240B4A" w:rsidTr="002073D6">
        <w:trPr>
          <w:trHeight w:val="322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073D6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DC1E81" w:rsidP="0034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375015.47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1376997.09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54°52'41,29262"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50°13'58,43988"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DC1E81" w:rsidP="0034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375034.88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1376998.59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54°52'41,91934"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50°13'58,54263"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DC1E81" w:rsidP="0034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375044.44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1377010.51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54°52'42,22182"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50°13'59,22020"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DC1E81" w:rsidP="00DC1E81">
            <w:pPr>
              <w:widowControl w:val="0"/>
              <w:tabs>
                <w:tab w:val="left" w:pos="7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375040.68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1377043.93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54°52'42,08174"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50°14'01,09052"</w:t>
            </w:r>
          </w:p>
        </w:tc>
      </w:tr>
      <w:tr w:rsidR="00DC1E81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1E81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1E81" w:rsidRDefault="00DC1E81" w:rsidP="00DC1E81">
            <w:pPr>
              <w:widowControl w:val="0"/>
              <w:tabs>
                <w:tab w:val="left" w:pos="7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375009.57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E81" w:rsidRPr="00240B4A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1377040.96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E81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54°52'41,07756"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E81" w:rsidRDefault="00DC1E8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50°14'00,89410"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C1E81" w:rsidRPr="00DC1E81" w:rsidRDefault="00DC1E81" w:rsidP="00DC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E81">
        <w:rPr>
          <w:rFonts w:ascii="Times New Roman" w:hAnsi="Times New Roman" w:cs="Times New Roman"/>
          <w:b/>
          <w:bCs/>
          <w:sz w:val="28"/>
          <w:szCs w:val="28"/>
        </w:rPr>
        <w:t>юго-западная часть</w:t>
      </w:r>
      <w:r w:rsidRPr="00DC1E81">
        <w:rPr>
          <w:rFonts w:ascii="Times New Roman" w:hAnsi="Times New Roman" w:cs="Times New Roman"/>
          <w:sz w:val="28"/>
          <w:szCs w:val="28"/>
        </w:rPr>
        <w:t xml:space="preserve">: вдоль поселковой дороги и параллельно </w:t>
      </w:r>
      <w:proofErr w:type="gramStart"/>
      <w:r w:rsidRPr="00DC1E81">
        <w:rPr>
          <w:rFonts w:ascii="Times New Roman" w:hAnsi="Times New Roman" w:cs="Times New Roman"/>
          <w:sz w:val="28"/>
          <w:szCs w:val="28"/>
        </w:rPr>
        <w:t>западному</w:t>
      </w:r>
      <w:proofErr w:type="gramEnd"/>
    </w:p>
    <w:p w:rsidR="00DC1E81" w:rsidRPr="00DC1E81" w:rsidRDefault="00DC1E81" w:rsidP="00DC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E81">
        <w:rPr>
          <w:rFonts w:ascii="Times New Roman" w:hAnsi="Times New Roman" w:cs="Times New Roman"/>
          <w:sz w:val="28"/>
          <w:szCs w:val="28"/>
        </w:rPr>
        <w:t>фасаду колокольни (поворотные точки 1-2);</w:t>
      </w:r>
    </w:p>
    <w:p w:rsidR="00DC1E81" w:rsidRPr="00DC1E81" w:rsidRDefault="00DC1E81" w:rsidP="00DC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E81">
        <w:rPr>
          <w:rFonts w:ascii="Times New Roman" w:hAnsi="Times New Roman" w:cs="Times New Roman"/>
          <w:b/>
          <w:bCs/>
          <w:sz w:val="28"/>
          <w:szCs w:val="28"/>
        </w:rPr>
        <w:t>северо-западная часть</w:t>
      </w:r>
      <w:r w:rsidRPr="00DC1E81">
        <w:rPr>
          <w:rFonts w:ascii="Times New Roman" w:hAnsi="Times New Roman" w:cs="Times New Roman"/>
          <w:sz w:val="28"/>
          <w:szCs w:val="28"/>
        </w:rPr>
        <w:t>: вдоль поселковой дороги (поворотные точки 2-3);</w:t>
      </w:r>
    </w:p>
    <w:p w:rsidR="00DC1E81" w:rsidRPr="00DC1E81" w:rsidRDefault="00DC1E81" w:rsidP="00DC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E81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DC1E81">
        <w:rPr>
          <w:rFonts w:ascii="Times New Roman" w:hAnsi="Times New Roman" w:cs="Times New Roman"/>
          <w:sz w:val="28"/>
          <w:szCs w:val="28"/>
        </w:rPr>
        <w:t>: вдоль улицы Совхозная (поворотные точки 3-4-5);</w:t>
      </w:r>
    </w:p>
    <w:p w:rsidR="005313C6" w:rsidRPr="00DC1E81" w:rsidRDefault="00DC1E81" w:rsidP="00DC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81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DC1E81">
        <w:rPr>
          <w:rFonts w:ascii="Times New Roman" w:hAnsi="Times New Roman" w:cs="Times New Roman"/>
          <w:sz w:val="28"/>
          <w:szCs w:val="28"/>
        </w:rPr>
        <w:t>: параллельно зданию церкви (поворотные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E81">
        <w:rPr>
          <w:rFonts w:ascii="Times New Roman" w:hAnsi="Times New Roman" w:cs="Times New Roman"/>
          <w:sz w:val="28"/>
          <w:szCs w:val="28"/>
        </w:rPr>
        <w:t>5-1).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741" w:rsidRDefault="005E2741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E81" w:rsidRDefault="00DC1E81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E81" w:rsidRDefault="00DC1E81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6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383117" w:rsidRPr="004F252E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F252E" w:rsidRPr="004F252E" w:rsidRDefault="004F252E" w:rsidP="004F2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Колокольня церкви Казанской Божьей матери с руинами основного объема», 1812 г.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P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RP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A76E4"/>
    <w:rsid w:val="000D073E"/>
    <w:rsid w:val="00137AFF"/>
    <w:rsid w:val="001E290E"/>
    <w:rsid w:val="002073D6"/>
    <w:rsid w:val="00221590"/>
    <w:rsid w:val="00240B4A"/>
    <w:rsid w:val="002505EC"/>
    <w:rsid w:val="002615D4"/>
    <w:rsid w:val="00331E95"/>
    <w:rsid w:val="00345FAA"/>
    <w:rsid w:val="00383117"/>
    <w:rsid w:val="004F252E"/>
    <w:rsid w:val="00504B4D"/>
    <w:rsid w:val="005313C6"/>
    <w:rsid w:val="005E2741"/>
    <w:rsid w:val="00673086"/>
    <w:rsid w:val="00694BC7"/>
    <w:rsid w:val="006D5F82"/>
    <w:rsid w:val="006F097C"/>
    <w:rsid w:val="0070203B"/>
    <w:rsid w:val="0074716D"/>
    <w:rsid w:val="007620DF"/>
    <w:rsid w:val="007D22E9"/>
    <w:rsid w:val="00876C75"/>
    <w:rsid w:val="008B522D"/>
    <w:rsid w:val="009E29C5"/>
    <w:rsid w:val="00A40CF5"/>
    <w:rsid w:val="00A63BD3"/>
    <w:rsid w:val="00A72AB5"/>
    <w:rsid w:val="00AC6FAD"/>
    <w:rsid w:val="00B05746"/>
    <w:rsid w:val="00B07683"/>
    <w:rsid w:val="00B12C4E"/>
    <w:rsid w:val="00B35F24"/>
    <w:rsid w:val="00B52E03"/>
    <w:rsid w:val="00BC504F"/>
    <w:rsid w:val="00C92FF0"/>
    <w:rsid w:val="00CC2346"/>
    <w:rsid w:val="00CF7C75"/>
    <w:rsid w:val="00D54B6C"/>
    <w:rsid w:val="00DC0BB8"/>
    <w:rsid w:val="00DC1E81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CB018-06D2-4F6A-9BD6-F38D1439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18</cp:revision>
  <cp:lastPrinted>2019-06-14T13:01:00Z</cp:lastPrinted>
  <dcterms:created xsi:type="dcterms:W3CDTF">2019-06-21T07:43:00Z</dcterms:created>
  <dcterms:modified xsi:type="dcterms:W3CDTF">2019-08-05T13:18:00Z</dcterms:modified>
</cp:coreProperties>
</file>