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2C1F68" w:rsidRPr="00E71F81" w:rsidTr="00492C7E">
        <w:trPr>
          <w:trHeight w:val="2172"/>
        </w:trPr>
        <w:tc>
          <w:tcPr>
            <w:tcW w:w="4253" w:type="dxa"/>
          </w:tcPr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К</w:t>
            </w:r>
            <w:r w:rsidRPr="00E71F81">
              <w:rPr>
                <w:bCs/>
                <w:spacing w:val="-10"/>
                <w:sz w:val="28"/>
                <w:szCs w:val="28"/>
              </w:rPr>
              <w:t>ОМИТЕТ</w:t>
            </w: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1AAAD1C" wp14:editId="0BBFAED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71647"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E71F81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71F81">
              <w:rPr>
                <w:noProof/>
                <w:sz w:val="28"/>
                <w:szCs w:val="28"/>
              </w:rPr>
              <w:drawing>
                <wp:inline distT="0" distB="0" distL="0" distR="0" wp14:anchorId="53A33344" wp14:editId="36F29B46">
                  <wp:extent cx="723900" cy="723900"/>
                  <wp:effectExtent l="0" t="0" r="0" b="0"/>
                  <wp:docPr id="26" name="Рисунок 26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F68" w:rsidRPr="00E71F81" w:rsidRDefault="002C1F68" w:rsidP="00492C7E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ind w:right="-1038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E71F81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kern w:val="2"/>
                <w:sz w:val="20"/>
                <w:szCs w:val="20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sz w:val="20"/>
                <w:szCs w:val="20"/>
                <w:lang w:val="tt-RU"/>
              </w:rPr>
            </w:pPr>
          </w:p>
        </w:tc>
      </w:tr>
    </w:tbl>
    <w:p w:rsidR="002C1F68" w:rsidRPr="00E71F81" w:rsidRDefault="002C1F68" w:rsidP="002C1F68">
      <w:pPr>
        <w:autoSpaceDE w:val="0"/>
        <w:autoSpaceDN w:val="0"/>
        <w:jc w:val="center"/>
        <w:rPr>
          <w:sz w:val="20"/>
          <w:szCs w:val="20"/>
        </w:rPr>
      </w:pPr>
      <w:r w:rsidRPr="00E71F81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2C1F68" w:rsidRPr="00E71F81" w:rsidRDefault="002C1F68" w:rsidP="002C1F68">
      <w:pPr>
        <w:spacing w:line="288" w:lineRule="auto"/>
        <w:jc w:val="center"/>
        <w:rPr>
          <w:b/>
          <w:sz w:val="28"/>
          <w:szCs w:val="20"/>
        </w:rPr>
      </w:pPr>
      <w:r w:rsidRPr="00E71F81">
        <w:rPr>
          <w:b/>
          <w:sz w:val="28"/>
          <w:szCs w:val="20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2C1F68" w:rsidRPr="00E71F81" w:rsidTr="00492C7E">
        <w:tc>
          <w:tcPr>
            <w:tcW w:w="3369" w:type="dxa"/>
            <w:tcBorders>
              <w:bottom w:val="single" w:sz="6" w:space="0" w:color="auto"/>
            </w:tcBorders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3010" w:type="dxa"/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43" w:type="dxa"/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  <w:r w:rsidRPr="00E71F81">
              <w:rPr>
                <w:sz w:val="28"/>
                <w:szCs w:val="20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</w:tr>
    </w:tbl>
    <w:p w:rsidR="002C1F68" w:rsidRDefault="002C1F68" w:rsidP="002C1F68"/>
    <w:p w:rsidR="009F28A6" w:rsidRDefault="009F28A6" w:rsidP="002C1F6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5"/>
      </w:tblGrid>
      <w:tr w:rsidR="002C1F68" w:rsidRPr="00746535" w:rsidTr="007469D1">
        <w:tc>
          <w:tcPr>
            <w:tcW w:w="5245" w:type="dxa"/>
            <w:shd w:val="clear" w:color="auto" w:fill="auto"/>
          </w:tcPr>
          <w:p w:rsidR="002C1F68" w:rsidRPr="00746535" w:rsidRDefault="00897455" w:rsidP="00B017AF">
            <w:pPr>
              <w:tabs>
                <w:tab w:val="left" w:pos="3294"/>
              </w:tabs>
              <w:ind w:right="34"/>
              <w:jc w:val="both"/>
              <w:rPr>
                <w:sz w:val="28"/>
                <w:szCs w:val="28"/>
              </w:rPr>
            </w:pPr>
            <w:r w:rsidRPr="00746535">
              <w:rPr>
                <w:sz w:val="28"/>
                <w:szCs w:val="28"/>
              </w:rPr>
              <w:t xml:space="preserve">О внесении </w:t>
            </w:r>
            <w:r w:rsidRPr="003D4F44">
              <w:rPr>
                <w:sz w:val="28"/>
                <w:szCs w:val="28"/>
              </w:rPr>
              <w:t>изменени</w:t>
            </w:r>
            <w:r w:rsidR="006B16A5" w:rsidRPr="003D4F44">
              <w:rPr>
                <w:sz w:val="28"/>
                <w:szCs w:val="28"/>
              </w:rPr>
              <w:t>й</w:t>
            </w:r>
            <w:r w:rsidRPr="003D4F44">
              <w:rPr>
                <w:sz w:val="28"/>
                <w:szCs w:val="28"/>
              </w:rPr>
              <w:t xml:space="preserve"> в</w:t>
            </w:r>
            <w:r w:rsidR="00CD1B80" w:rsidRPr="003D4F44">
              <w:rPr>
                <w:sz w:val="28"/>
                <w:szCs w:val="28"/>
              </w:rPr>
              <w:t xml:space="preserve"> </w:t>
            </w:r>
            <w:r w:rsidR="00B017AF">
              <w:rPr>
                <w:sz w:val="28"/>
                <w:szCs w:val="28"/>
              </w:rPr>
              <w:t>приказ</w:t>
            </w:r>
            <w:r w:rsidR="003D4F44" w:rsidRPr="003D4F44">
              <w:rPr>
                <w:sz w:val="28"/>
                <w:szCs w:val="28"/>
              </w:rPr>
              <w:t xml:space="preserve"> </w:t>
            </w:r>
            <w:r w:rsidRPr="003D4F44">
              <w:rPr>
                <w:sz w:val="28"/>
                <w:szCs w:val="28"/>
              </w:rPr>
              <w:t>Комитета Республики Татарстан по охране объектов культурного наследия от</w:t>
            </w:r>
            <w:r w:rsidR="007469D1" w:rsidRPr="003D4F44">
              <w:rPr>
                <w:sz w:val="28"/>
                <w:szCs w:val="28"/>
              </w:rPr>
              <w:t xml:space="preserve"> </w:t>
            </w:r>
            <w:r w:rsidR="00EA5CD1" w:rsidRPr="003D4F44">
              <w:rPr>
                <w:sz w:val="28"/>
                <w:szCs w:val="28"/>
              </w:rPr>
              <w:t>22</w:t>
            </w:r>
            <w:r w:rsidRPr="003D4F44">
              <w:rPr>
                <w:sz w:val="28"/>
                <w:szCs w:val="28"/>
              </w:rPr>
              <w:t>.</w:t>
            </w:r>
            <w:r w:rsidR="00EA5CD1" w:rsidRPr="003D4F44">
              <w:rPr>
                <w:sz w:val="28"/>
                <w:szCs w:val="28"/>
              </w:rPr>
              <w:t>10</w:t>
            </w:r>
            <w:r w:rsidR="00890FB0" w:rsidRPr="003D4F44">
              <w:rPr>
                <w:sz w:val="28"/>
                <w:szCs w:val="28"/>
              </w:rPr>
              <w:t>.20</w:t>
            </w:r>
            <w:r w:rsidR="00A928C6" w:rsidRPr="003D4F44">
              <w:rPr>
                <w:sz w:val="28"/>
                <w:szCs w:val="28"/>
              </w:rPr>
              <w:t>19</w:t>
            </w:r>
            <w:r w:rsidR="00890FB0" w:rsidRPr="003D4F44">
              <w:rPr>
                <w:sz w:val="28"/>
                <w:szCs w:val="28"/>
              </w:rPr>
              <w:t xml:space="preserve"> </w:t>
            </w:r>
            <w:r w:rsidR="00B651EC" w:rsidRPr="003D4F44">
              <w:rPr>
                <w:sz w:val="28"/>
                <w:szCs w:val="28"/>
              </w:rPr>
              <w:t>№ </w:t>
            </w:r>
            <w:r w:rsidR="00EA5CD1" w:rsidRPr="003D4F44">
              <w:rPr>
                <w:sz w:val="28"/>
                <w:szCs w:val="28"/>
              </w:rPr>
              <w:t>126</w:t>
            </w:r>
            <w:r w:rsidRPr="003D4F44">
              <w:rPr>
                <w:sz w:val="28"/>
                <w:szCs w:val="28"/>
              </w:rPr>
              <w:t xml:space="preserve">-П </w:t>
            </w:r>
            <w:r w:rsidR="00B900DC" w:rsidRPr="00B900DC">
              <w:rPr>
                <w:sz w:val="28"/>
                <w:szCs w:val="28"/>
              </w:rPr>
              <w:t>«Об утверждении границ территорий объектов культурного наследия регионального значения, расположенных в г. Казани»</w:t>
            </w:r>
          </w:p>
        </w:tc>
      </w:tr>
    </w:tbl>
    <w:p w:rsidR="002C1F68" w:rsidRDefault="002C1F68" w:rsidP="002C1F68">
      <w:pPr>
        <w:ind w:right="-1"/>
        <w:rPr>
          <w:sz w:val="28"/>
          <w:szCs w:val="28"/>
        </w:rPr>
      </w:pPr>
    </w:p>
    <w:p w:rsidR="007469D1" w:rsidRPr="00233EF2" w:rsidRDefault="007469D1" w:rsidP="002C1F68">
      <w:pPr>
        <w:ind w:right="-1"/>
        <w:rPr>
          <w:sz w:val="28"/>
          <w:szCs w:val="28"/>
          <w:lang w:val="tt-RU"/>
        </w:rPr>
      </w:pPr>
    </w:p>
    <w:p w:rsidR="003B5631" w:rsidRDefault="006B16A5" w:rsidP="003B5631">
      <w:pPr>
        <w:ind w:right="-1" w:firstLine="708"/>
        <w:jc w:val="both"/>
        <w:rPr>
          <w:sz w:val="28"/>
          <w:szCs w:val="28"/>
        </w:rPr>
      </w:pPr>
      <w:r w:rsidRPr="003B5631">
        <w:rPr>
          <w:sz w:val="28"/>
          <w:szCs w:val="28"/>
        </w:rPr>
        <w:t xml:space="preserve">Внести в </w:t>
      </w:r>
      <w:r w:rsidR="003B5631" w:rsidRPr="003B5631">
        <w:rPr>
          <w:sz w:val="28"/>
          <w:szCs w:val="28"/>
        </w:rPr>
        <w:t>приказ Комитета Республики Татарстан по охране объектов культурного наследия от 22.10.2019 № 126-П «Об утверждении границ территорий объектов культурного наследия регионального значения, расположенных в г. Казани»</w:t>
      </w:r>
    </w:p>
    <w:p w:rsidR="000D77CA" w:rsidRPr="003B5631" w:rsidRDefault="00EC6080" w:rsidP="003B5631">
      <w:pPr>
        <w:ind w:right="-1"/>
        <w:jc w:val="both"/>
        <w:rPr>
          <w:sz w:val="28"/>
          <w:szCs w:val="28"/>
        </w:rPr>
      </w:pPr>
      <w:r w:rsidRPr="003B5631">
        <w:rPr>
          <w:sz w:val="28"/>
          <w:szCs w:val="28"/>
        </w:rPr>
        <w:t xml:space="preserve">(с изменениями, внесенными приказами от 05.10.2020 № 213-П, от 05.02.2021 </w:t>
      </w:r>
      <w:r w:rsidR="008A791C" w:rsidRPr="003B5631">
        <w:rPr>
          <w:sz w:val="28"/>
          <w:szCs w:val="28"/>
        </w:rPr>
        <w:t xml:space="preserve">                     </w:t>
      </w:r>
      <w:r w:rsidRPr="003B5631">
        <w:rPr>
          <w:sz w:val="28"/>
          <w:szCs w:val="28"/>
        </w:rPr>
        <w:t xml:space="preserve">№ 24-П) </w:t>
      </w:r>
      <w:r w:rsidR="00510764" w:rsidRPr="003B5631">
        <w:rPr>
          <w:sz w:val="28"/>
          <w:szCs w:val="28"/>
        </w:rPr>
        <w:t xml:space="preserve">следующие </w:t>
      </w:r>
      <w:r w:rsidRPr="003B5631">
        <w:rPr>
          <w:sz w:val="28"/>
          <w:szCs w:val="28"/>
        </w:rPr>
        <w:t>изменени</w:t>
      </w:r>
      <w:r w:rsidR="00510764" w:rsidRPr="003B5631">
        <w:rPr>
          <w:sz w:val="28"/>
          <w:szCs w:val="28"/>
        </w:rPr>
        <w:t>я</w:t>
      </w:r>
      <w:r w:rsidRPr="003B5631">
        <w:rPr>
          <w:sz w:val="28"/>
          <w:szCs w:val="28"/>
        </w:rPr>
        <w:t>:</w:t>
      </w:r>
    </w:p>
    <w:p w:rsidR="003B5631" w:rsidRPr="003B5631" w:rsidRDefault="003B5631" w:rsidP="00286CD5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B5631">
        <w:rPr>
          <w:sz w:val="28"/>
          <w:szCs w:val="28"/>
        </w:rPr>
        <w:t xml:space="preserve"> приложение № 1:</w:t>
      </w:r>
    </w:p>
    <w:p w:rsidR="00F367E5" w:rsidRPr="00F367E5" w:rsidRDefault="00F367E5" w:rsidP="003B5631">
      <w:pPr>
        <w:ind w:firstLine="709"/>
        <w:jc w:val="both"/>
        <w:rPr>
          <w:sz w:val="28"/>
          <w:szCs w:val="28"/>
        </w:rPr>
      </w:pPr>
      <w:r w:rsidRPr="00F367E5">
        <w:rPr>
          <w:sz w:val="28"/>
          <w:szCs w:val="28"/>
        </w:rPr>
        <w:t>в пункте 55</w:t>
      </w:r>
      <w:r w:rsidR="003B5631">
        <w:rPr>
          <w:sz w:val="28"/>
          <w:szCs w:val="28"/>
        </w:rPr>
        <w:t xml:space="preserve"> </w:t>
      </w:r>
      <w:r w:rsidRPr="00F367E5">
        <w:rPr>
          <w:sz w:val="28"/>
          <w:szCs w:val="28"/>
        </w:rPr>
        <w:t>слова «</w:t>
      </w:r>
      <w:proofErr w:type="spellStart"/>
      <w:r w:rsidRPr="00F367E5">
        <w:rPr>
          <w:sz w:val="28"/>
          <w:szCs w:val="28"/>
        </w:rPr>
        <w:t>ул.Профсоюзная</w:t>
      </w:r>
      <w:proofErr w:type="spellEnd"/>
      <w:r w:rsidRPr="00F367E5">
        <w:rPr>
          <w:sz w:val="28"/>
          <w:szCs w:val="28"/>
        </w:rPr>
        <w:t>, д.1/37»</w:t>
      </w:r>
      <w:r>
        <w:rPr>
          <w:sz w:val="28"/>
          <w:szCs w:val="28"/>
        </w:rPr>
        <w:t xml:space="preserve"> </w:t>
      </w:r>
      <w:r w:rsidRPr="00F367E5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</w:t>
      </w:r>
      <w:r w:rsidRPr="00F367E5">
        <w:rPr>
          <w:sz w:val="28"/>
          <w:szCs w:val="28"/>
        </w:rPr>
        <w:t>«ул. Кремлёвская, 35»;</w:t>
      </w:r>
    </w:p>
    <w:p w:rsidR="00F367E5" w:rsidRDefault="00F367E5" w:rsidP="003B5631">
      <w:pPr>
        <w:ind w:firstLine="709"/>
        <w:jc w:val="both"/>
        <w:rPr>
          <w:b/>
          <w:sz w:val="28"/>
          <w:szCs w:val="28"/>
          <w:highlight w:val="yellow"/>
        </w:rPr>
      </w:pPr>
      <w:r w:rsidRPr="00F367E5">
        <w:rPr>
          <w:sz w:val="28"/>
          <w:szCs w:val="28"/>
        </w:rPr>
        <w:t>в пункте 72 слова</w:t>
      </w:r>
      <w:r w:rsidRPr="00F367E5">
        <w:rPr>
          <w:b/>
          <w:sz w:val="28"/>
          <w:szCs w:val="28"/>
        </w:rPr>
        <w:t xml:space="preserve"> </w:t>
      </w:r>
      <w:r w:rsidRPr="00F367E5">
        <w:rPr>
          <w:sz w:val="28"/>
        </w:rPr>
        <w:t>«</w:t>
      </w:r>
      <w:r w:rsidRPr="00F367E5">
        <w:rPr>
          <w:sz w:val="28"/>
          <w:szCs w:val="28"/>
        </w:rPr>
        <w:t xml:space="preserve">Дом-1, Петрушкин разъезд, 1875г.» заменить словами </w:t>
      </w:r>
      <w:r w:rsidR="008A791C">
        <w:rPr>
          <w:sz w:val="28"/>
          <w:szCs w:val="28"/>
        </w:rPr>
        <w:t xml:space="preserve"> </w:t>
      </w:r>
      <w:proofErr w:type="gramStart"/>
      <w:r w:rsidR="008A791C">
        <w:rPr>
          <w:sz w:val="28"/>
          <w:szCs w:val="28"/>
        </w:rPr>
        <w:t xml:space="preserve">   </w:t>
      </w:r>
      <w:r w:rsidRPr="00F367E5">
        <w:rPr>
          <w:sz w:val="28"/>
          <w:szCs w:val="28"/>
        </w:rPr>
        <w:t>«</w:t>
      </w:r>
      <w:proofErr w:type="gramEnd"/>
      <w:r w:rsidRPr="00F367E5">
        <w:rPr>
          <w:sz w:val="28"/>
          <w:szCs w:val="28"/>
        </w:rPr>
        <w:t>Депо – 1, Петрушкин разъезд», 1875 г.</w:t>
      </w:r>
      <w:r>
        <w:rPr>
          <w:sz w:val="28"/>
          <w:szCs w:val="28"/>
        </w:rPr>
        <w:t>»;</w:t>
      </w:r>
    </w:p>
    <w:p w:rsidR="000E6376" w:rsidRDefault="00F367E5" w:rsidP="003B5631">
      <w:pPr>
        <w:ind w:firstLine="709"/>
        <w:jc w:val="both"/>
        <w:rPr>
          <w:color w:val="000000" w:themeColor="text1"/>
          <w:sz w:val="28"/>
          <w:szCs w:val="28"/>
        </w:rPr>
      </w:pPr>
      <w:r w:rsidRPr="00576B4A">
        <w:rPr>
          <w:sz w:val="28"/>
          <w:szCs w:val="28"/>
        </w:rPr>
        <w:t>в пункте 76 слова «</w:t>
      </w:r>
      <w:r w:rsidRPr="00F367E5">
        <w:rPr>
          <w:sz w:val="28"/>
          <w:szCs w:val="28"/>
        </w:rPr>
        <w:t xml:space="preserve">Школа заводская, 1934г., </w:t>
      </w:r>
      <w:proofErr w:type="spellStart"/>
      <w:r w:rsidRPr="00F367E5">
        <w:rPr>
          <w:sz w:val="28"/>
          <w:szCs w:val="28"/>
        </w:rPr>
        <w:t>арх.И.Г.Гайнутдинов</w:t>
      </w:r>
      <w:proofErr w:type="spellEnd"/>
      <w:r w:rsidRPr="00F367E5">
        <w:rPr>
          <w:sz w:val="28"/>
          <w:szCs w:val="28"/>
        </w:rPr>
        <w:t xml:space="preserve">», расположенного по адресу:  </w:t>
      </w:r>
      <w:proofErr w:type="spellStart"/>
      <w:r w:rsidRPr="00F367E5">
        <w:rPr>
          <w:sz w:val="28"/>
          <w:szCs w:val="28"/>
        </w:rPr>
        <w:t>г.Казань</w:t>
      </w:r>
      <w:proofErr w:type="spellEnd"/>
      <w:r w:rsidRPr="00F367E5">
        <w:rPr>
          <w:sz w:val="28"/>
          <w:szCs w:val="28"/>
        </w:rPr>
        <w:t>, ул. Эсперанто, д.48» заменить словами</w:t>
      </w:r>
      <w:r>
        <w:rPr>
          <w:b/>
          <w:sz w:val="28"/>
          <w:szCs w:val="28"/>
        </w:rPr>
        <w:t xml:space="preserve"> </w:t>
      </w:r>
      <w:r w:rsidRPr="00085DDB">
        <w:rPr>
          <w:sz w:val="28"/>
          <w:szCs w:val="28"/>
        </w:rPr>
        <w:t xml:space="preserve">«Школа заводская», 1934 г., расположенного по адресу: Республика Татарстан, г. Казань, </w:t>
      </w:r>
      <w:r w:rsidR="00576B4A">
        <w:rPr>
          <w:sz w:val="28"/>
          <w:szCs w:val="28"/>
        </w:rPr>
        <w:t xml:space="preserve">                    </w:t>
      </w:r>
      <w:r w:rsidRPr="00085DDB">
        <w:rPr>
          <w:sz w:val="28"/>
          <w:szCs w:val="28"/>
        </w:rPr>
        <w:t>ул. Нурсултана Назарбаева, д. 48</w:t>
      </w:r>
      <w:r>
        <w:rPr>
          <w:sz w:val="28"/>
          <w:szCs w:val="28"/>
        </w:rPr>
        <w:t>».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76B4A">
        <w:rPr>
          <w:sz w:val="28"/>
          <w:szCs w:val="28"/>
        </w:rPr>
        <w:tab/>
      </w:r>
      <w:r>
        <w:rPr>
          <w:sz w:val="28"/>
          <w:szCs w:val="28"/>
        </w:rPr>
        <w:t xml:space="preserve">2. </w:t>
      </w:r>
      <w:r w:rsidR="003B5631">
        <w:rPr>
          <w:sz w:val="28"/>
          <w:szCs w:val="28"/>
        </w:rPr>
        <w:t>П</w:t>
      </w:r>
      <w:r w:rsidR="00EC6080" w:rsidRPr="001437DF">
        <w:rPr>
          <w:sz w:val="28"/>
          <w:szCs w:val="28"/>
        </w:rPr>
        <w:t>риложение № 2</w:t>
      </w:r>
      <w:r w:rsidR="001437DF" w:rsidRPr="001437DF">
        <w:rPr>
          <w:sz w:val="28"/>
          <w:szCs w:val="28"/>
        </w:rPr>
        <w:t xml:space="preserve"> </w:t>
      </w:r>
      <w:r w:rsidR="003B5631">
        <w:rPr>
          <w:sz w:val="28"/>
          <w:szCs w:val="28"/>
        </w:rPr>
        <w:t>изложить</w:t>
      </w:r>
      <w:r w:rsidR="00EC6080" w:rsidRPr="001437DF">
        <w:rPr>
          <w:sz w:val="28"/>
          <w:szCs w:val="28"/>
        </w:rPr>
        <w:t xml:space="preserve"> </w:t>
      </w:r>
      <w:r w:rsidR="007469D1" w:rsidRPr="001437DF">
        <w:rPr>
          <w:color w:val="000000" w:themeColor="text1"/>
          <w:sz w:val="28"/>
          <w:szCs w:val="28"/>
        </w:rPr>
        <w:t>в новой</w:t>
      </w:r>
      <w:r w:rsidR="000E6376" w:rsidRPr="001437DF">
        <w:rPr>
          <w:color w:val="000000" w:themeColor="text1"/>
          <w:sz w:val="28"/>
          <w:szCs w:val="28"/>
        </w:rPr>
        <w:t xml:space="preserve"> </w:t>
      </w:r>
      <w:r w:rsidR="001437DF">
        <w:rPr>
          <w:color w:val="000000" w:themeColor="text1"/>
          <w:sz w:val="28"/>
          <w:szCs w:val="28"/>
        </w:rPr>
        <w:t xml:space="preserve">прилагаемой </w:t>
      </w:r>
      <w:r w:rsidR="000E6376" w:rsidRPr="001437DF">
        <w:rPr>
          <w:color w:val="000000" w:themeColor="text1"/>
          <w:sz w:val="28"/>
          <w:szCs w:val="28"/>
        </w:rPr>
        <w:t>редакции</w:t>
      </w:r>
      <w:r w:rsidR="001437DF">
        <w:rPr>
          <w:color w:val="000000" w:themeColor="text1"/>
          <w:sz w:val="28"/>
          <w:szCs w:val="28"/>
        </w:rPr>
        <w:t>.</w:t>
      </w:r>
    </w:p>
    <w:p w:rsidR="000E6376" w:rsidRPr="003B5631" w:rsidRDefault="003B5631" w:rsidP="003B5631">
      <w:pPr>
        <w:pStyle w:val="a5"/>
        <w:ind w:left="0" w:right="-1" w:firstLine="709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 xml:space="preserve">3. </w:t>
      </w:r>
      <w:r w:rsidR="00792D62" w:rsidRPr="003B5631">
        <w:rPr>
          <w:rFonts w:eastAsiaTheme="minorEastAsia"/>
          <w:sz w:val="28"/>
          <w:szCs w:val="28"/>
          <w:lang w:eastAsia="en-US"/>
        </w:rPr>
        <w:t xml:space="preserve">Контроль за исполнением настоящего приказа </w:t>
      </w:r>
      <w:r w:rsidR="0071592F" w:rsidRPr="003B5631">
        <w:rPr>
          <w:rFonts w:eastAsiaTheme="minorEastAsia"/>
          <w:sz w:val="28"/>
          <w:szCs w:val="28"/>
          <w:lang w:eastAsia="en-US"/>
        </w:rPr>
        <w:t>оставляю за собой</w:t>
      </w:r>
      <w:r w:rsidR="00233EF2" w:rsidRPr="003B5631">
        <w:rPr>
          <w:rFonts w:eastAsiaTheme="minorEastAsia"/>
          <w:sz w:val="28"/>
          <w:szCs w:val="28"/>
          <w:lang w:eastAsia="en-US"/>
        </w:rPr>
        <w:t>.</w:t>
      </w:r>
    </w:p>
    <w:p w:rsidR="0071592F" w:rsidRDefault="0071592F" w:rsidP="0071592F">
      <w:pPr>
        <w:pStyle w:val="a5"/>
        <w:ind w:right="-1"/>
        <w:jc w:val="both"/>
        <w:rPr>
          <w:rFonts w:eastAsiaTheme="minorEastAsia"/>
          <w:sz w:val="28"/>
          <w:szCs w:val="28"/>
          <w:lang w:eastAsia="en-US"/>
        </w:rPr>
      </w:pPr>
    </w:p>
    <w:p w:rsidR="0071592F" w:rsidRDefault="0071592F" w:rsidP="0071592F">
      <w:pPr>
        <w:pStyle w:val="a5"/>
        <w:ind w:right="-1"/>
        <w:jc w:val="both"/>
        <w:rPr>
          <w:rFonts w:eastAsiaTheme="minorEastAsia"/>
          <w:sz w:val="28"/>
          <w:szCs w:val="28"/>
          <w:lang w:eastAsia="en-US"/>
        </w:rPr>
      </w:pPr>
    </w:p>
    <w:p w:rsidR="00054D00" w:rsidRDefault="00054D00" w:rsidP="00054D00">
      <w:pPr>
        <w:ind w:left="142" w:right="-1"/>
        <w:jc w:val="both"/>
        <w:rPr>
          <w:sz w:val="28"/>
          <w:szCs w:val="28"/>
        </w:rPr>
      </w:pPr>
      <w:r w:rsidRPr="009F28A6">
        <w:rPr>
          <w:sz w:val="28"/>
          <w:szCs w:val="28"/>
        </w:rPr>
        <w:t>Председатель</w:t>
      </w:r>
      <w:r w:rsidRPr="00746535">
        <w:rPr>
          <w:sz w:val="28"/>
          <w:szCs w:val="28"/>
        </w:rPr>
        <w:t xml:space="preserve">                                                                                                </w:t>
      </w:r>
      <w:r w:rsidR="001437DF">
        <w:rPr>
          <w:sz w:val="28"/>
          <w:szCs w:val="28"/>
        </w:rPr>
        <w:t xml:space="preserve">     </w:t>
      </w:r>
      <w:r w:rsidRPr="00746535">
        <w:rPr>
          <w:sz w:val="28"/>
          <w:szCs w:val="28"/>
        </w:rPr>
        <w:t>И.Н. Гущин</w:t>
      </w:r>
    </w:p>
    <w:p w:rsidR="00447A21" w:rsidRDefault="00447A21" w:rsidP="00054D00">
      <w:pPr>
        <w:ind w:left="142" w:right="-1"/>
        <w:jc w:val="both"/>
        <w:rPr>
          <w:sz w:val="28"/>
          <w:szCs w:val="28"/>
        </w:rPr>
      </w:pPr>
    </w:p>
    <w:p w:rsidR="008A791C" w:rsidRDefault="008A791C" w:rsidP="00447A21">
      <w:pPr>
        <w:ind w:left="5104" w:right="-1" w:firstLine="708"/>
        <w:jc w:val="both"/>
        <w:rPr>
          <w:sz w:val="28"/>
          <w:szCs w:val="28"/>
        </w:rPr>
      </w:pPr>
    </w:p>
    <w:p w:rsidR="008A791C" w:rsidRDefault="008A791C" w:rsidP="00447A21">
      <w:pPr>
        <w:ind w:left="5104" w:right="-1" w:firstLine="708"/>
        <w:jc w:val="both"/>
        <w:rPr>
          <w:sz w:val="28"/>
          <w:szCs w:val="28"/>
        </w:rPr>
      </w:pPr>
    </w:p>
    <w:p w:rsidR="003B5631" w:rsidRDefault="003B5631" w:rsidP="00447A21">
      <w:pPr>
        <w:ind w:left="5104" w:right="-1" w:firstLine="708"/>
        <w:jc w:val="both"/>
        <w:rPr>
          <w:sz w:val="28"/>
          <w:szCs w:val="28"/>
        </w:rPr>
      </w:pPr>
    </w:p>
    <w:p w:rsidR="003B5631" w:rsidRDefault="003B5631" w:rsidP="00447A21">
      <w:pPr>
        <w:ind w:left="5104" w:right="-1" w:firstLine="708"/>
        <w:jc w:val="both"/>
        <w:rPr>
          <w:sz w:val="28"/>
          <w:szCs w:val="28"/>
        </w:rPr>
      </w:pPr>
    </w:p>
    <w:p w:rsidR="003B5631" w:rsidRDefault="003B5631" w:rsidP="00447A21">
      <w:pPr>
        <w:ind w:left="5104" w:right="-1" w:firstLine="708"/>
        <w:jc w:val="both"/>
        <w:rPr>
          <w:sz w:val="28"/>
          <w:szCs w:val="28"/>
        </w:rPr>
      </w:pPr>
    </w:p>
    <w:p w:rsidR="003B5631" w:rsidRDefault="003B5631" w:rsidP="00447A21">
      <w:pPr>
        <w:ind w:left="5104" w:right="-1" w:firstLine="708"/>
        <w:jc w:val="both"/>
        <w:rPr>
          <w:sz w:val="28"/>
          <w:szCs w:val="28"/>
        </w:rPr>
      </w:pPr>
    </w:p>
    <w:p w:rsidR="008A791C" w:rsidRDefault="008A791C" w:rsidP="00447A21">
      <w:pPr>
        <w:ind w:left="5104" w:right="-1" w:firstLine="708"/>
        <w:jc w:val="both"/>
        <w:rPr>
          <w:sz w:val="28"/>
          <w:szCs w:val="28"/>
        </w:rPr>
      </w:pPr>
    </w:p>
    <w:p w:rsidR="00447A21" w:rsidRPr="00447A21" w:rsidRDefault="00447A21" w:rsidP="00447A21">
      <w:pPr>
        <w:ind w:left="5104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447A21">
        <w:rPr>
          <w:sz w:val="28"/>
          <w:szCs w:val="28"/>
        </w:rPr>
        <w:t xml:space="preserve">риложение </w:t>
      </w:r>
      <w:bookmarkStart w:id="0" w:name="_GoBack"/>
      <w:r w:rsidRPr="00447A21">
        <w:rPr>
          <w:sz w:val="28"/>
          <w:szCs w:val="28"/>
        </w:rPr>
        <w:t>№ 2</w:t>
      </w:r>
      <w:bookmarkEnd w:id="0"/>
    </w:p>
    <w:p w:rsidR="00447A21" w:rsidRPr="00447A21" w:rsidRDefault="00447A21" w:rsidP="00447A21">
      <w:pPr>
        <w:ind w:left="142" w:right="-1" w:firstLine="5670"/>
        <w:jc w:val="both"/>
        <w:rPr>
          <w:sz w:val="28"/>
          <w:szCs w:val="28"/>
        </w:rPr>
      </w:pPr>
      <w:r w:rsidRPr="00447A21">
        <w:rPr>
          <w:sz w:val="28"/>
          <w:szCs w:val="28"/>
        </w:rPr>
        <w:t xml:space="preserve">к приказу Комитета </w:t>
      </w:r>
    </w:p>
    <w:p w:rsidR="00447A21" w:rsidRPr="00447A21" w:rsidRDefault="00447A21" w:rsidP="00447A21">
      <w:pPr>
        <w:ind w:left="142" w:right="-1" w:firstLine="5670"/>
        <w:jc w:val="both"/>
        <w:rPr>
          <w:sz w:val="28"/>
          <w:szCs w:val="28"/>
        </w:rPr>
      </w:pPr>
      <w:r w:rsidRPr="00447A21">
        <w:rPr>
          <w:sz w:val="28"/>
          <w:szCs w:val="28"/>
        </w:rPr>
        <w:t xml:space="preserve">Республики Татарстан </w:t>
      </w:r>
    </w:p>
    <w:p w:rsidR="00447A21" w:rsidRPr="00447A21" w:rsidRDefault="00447A21" w:rsidP="00447A21">
      <w:pPr>
        <w:ind w:left="142" w:right="-1" w:firstLine="5670"/>
        <w:jc w:val="both"/>
        <w:rPr>
          <w:sz w:val="28"/>
          <w:szCs w:val="28"/>
        </w:rPr>
      </w:pPr>
      <w:r w:rsidRPr="00447A21">
        <w:rPr>
          <w:sz w:val="28"/>
          <w:szCs w:val="28"/>
        </w:rPr>
        <w:t xml:space="preserve">по охране объектов культурного </w:t>
      </w:r>
    </w:p>
    <w:p w:rsidR="00FA1D82" w:rsidRPr="00FA1D82" w:rsidRDefault="00FA1D82" w:rsidP="00FA1D82">
      <w:pPr>
        <w:ind w:left="5812" w:right="-1"/>
        <w:jc w:val="both"/>
        <w:rPr>
          <w:sz w:val="28"/>
          <w:szCs w:val="28"/>
        </w:rPr>
      </w:pPr>
      <w:r>
        <w:rPr>
          <w:sz w:val="28"/>
          <w:szCs w:val="28"/>
        </w:rPr>
        <w:t>наследия, утвержденное приказом</w:t>
      </w:r>
      <w:r w:rsidRPr="00FA1D82">
        <w:t xml:space="preserve"> </w:t>
      </w:r>
      <w:r w:rsidRPr="00FA1D82">
        <w:rPr>
          <w:sz w:val="28"/>
          <w:szCs w:val="28"/>
        </w:rPr>
        <w:t xml:space="preserve">Комитета Республики Татарстан </w:t>
      </w:r>
    </w:p>
    <w:p w:rsidR="00FA1D82" w:rsidRPr="00FA1D82" w:rsidRDefault="00FA1D82" w:rsidP="00FA1D82">
      <w:pPr>
        <w:ind w:left="142" w:right="-1" w:firstLine="5670"/>
        <w:jc w:val="both"/>
        <w:rPr>
          <w:sz w:val="28"/>
          <w:szCs w:val="28"/>
        </w:rPr>
      </w:pPr>
      <w:r w:rsidRPr="00FA1D82">
        <w:rPr>
          <w:sz w:val="28"/>
          <w:szCs w:val="28"/>
        </w:rPr>
        <w:t xml:space="preserve">по охране объектов культурного </w:t>
      </w:r>
    </w:p>
    <w:p w:rsidR="00447A21" w:rsidRDefault="00FA1D82" w:rsidP="00FA1D82">
      <w:pPr>
        <w:ind w:left="5812" w:right="-1"/>
        <w:jc w:val="both"/>
        <w:rPr>
          <w:sz w:val="28"/>
          <w:szCs w:val="28"/>
        </w:rPr>
      </w:pPr>
      <w:r w:rsidRPr="00FA1D82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от 22.10.2019 № 126-П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в редакции приказа Комитета </w:t>
      </w:r>
      <w:r w:rsidRPr="00FA1D82">
        <w:rPr>
          <w:sz w:val="28"/>
          <w:szCs w:val="28"/>
        </w:rPr>
        <w:t>Республики Татарстан по охране объектов культурного</w:t>
      </w:r>
      <w:r>
        <w:rPr>
          <w:sz w:val="28"/>
          <w:szCs w:val="28"/>
        </w:rPr>
        <w:t xml:space="preserve"> </w:t>
      </w:r>
      <w:r w:rsidRPr="00FA1D82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от_________________№________)</w:t>
      </w:r>
    </w:p>
    <w:p w:rsidR="00DD1431" w:rsidRDefault="00DD1431" w:rsidP="00FA1D82">
      <w:pPr>
        <w:ind w:left="5812" w:right="-1"/>
        <w:jc w:val="both"/>
        <w:rPr>
          <w:sz w:val="28"/>
          <w:szCs w:val="28"/>
        </w:rPr>
      </w:pPr>
    </w:p>
    <w:p w:rsidR="00DD1431" w:rsidRDefault="00DD1431" w:rsidP="00DD1431">
      <w:pPr>
        <w:tabs>
          <w:tab w:val="left" w:pos="2977"/>
        </w:tabs>
        <w:ind w:right="-1"/>
        <w:jc w:val="center"/>
        <w:rPr>
          <w:b/>
          <w:sz w:val="28"/>
          <w:szCs w:val="28"/>
        </w:rPr>
      </w:pPr>
    </w:p>
    <w:p w:rsidR="00DD1431" w:rsidRPr="00932D75" w:rsidRDefault="00DD1431" w:rsidP="00DD1431">
      <w:pPr>
        <w:tabs>
          <w:tab w:val="left" w:pos="2977"/>
        </w:tabs>
        <w:ind w:right="-1"/>
        <w:jc w:val="center"/>
        <w:rPr>
          <w:b/>
          <w:sz w:val="28"/>
          <w:szCs w:val="28"/>
        </w:rPr>
      </w:pPr>
      <w:r w:rsidRPr="00932D75">
        <w:rPr>
          <w:b/>
          <w:sz w:val="28"/>
          <w:szCs w:val="28"/>
        </w:rPr>
        <w:t>Режим использования</w:t>
      </w:r>
    </w:p>
    <w:p w:rsidR="00DD1431" w:rsidRPr="00932D75" w:rsidRDefault="00DD1431" w:rsidP="00DD1431">
      <w:pPr>
        <w:ind w:right="233"/>
        <w:jc w:val="center"/>
        <w:rPr>
          <w:sz w:val="28"/>
          <w:szCs w:val="28"/>
        </w:rPr>
      </w:pPr>
      <w:r w:rsidRPr="00932D75">
        <w:rPr>
          <w:sz w:val="28"/>
          <w:szCs w:val="28"/>
        </w:rPr>
        <w:t xml:space="preserve">территорий </w:t>
      </w:r>
      <w:r w:rsidRPr="00932D75">
        <w:rPr>
          <w:color w:val="000000" w:themeColor="text1"/>
          <w:sz w:val="28"/>
          <w:szCs w:val="28"/>
        </w:rPr>
        <w:t xml:space="preserve">объектов культурного наследия регионального значения, расположенных </w:t>
      </w:r>
      <w:r>
        <w:rPr>
          <w:sz w:val="28"/>
          <w:szCs w:val="28"/>
        </w:rPr>
        <w:t>на территории города Казани</w:t>
      </w:r>
    </w:p>
    <w:p w:rsidR="00DD1431" w:rsidRPr="00932D75" w:rsidRDefault="00DD1431" w:rsidP="00DD1431">
      <w:pPr>
        <w:tabs>
          <w:tab w:val="left" w:pos="993"/>
          <w:tab w:val="left" w:pos="2977"/>
        </w:tabs>
        <w:ind w:right="233"/>
        <w:jc w:val="center"/>
        <w:rPr>
          <w:sz w:val="28"/>
          <w:szCs w:val="28"/>
        </w:rPr>
      </w:pPr>
    </w:p>
    <w:p w:rsidR="00DD1431" w:rsidRDefault="00DD1431" w:rsidP="00DD1431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В границах территорий объектов культурного наследия регионального значения</w:t>
      </w:r>
      <w:r>
        <w:rPr>
          <w:sz w:val="28"/>
          <w:szCs w:val="28"/>
        </w:rPr>
        <w:t>, расположенных на территории города Казани</w:t>
      </w:r>
      <w:r w:rsidRPr="00932D75">
        <w:rPr>
          <w:sz w:val="28"/>
          <w:szCs w:val="28"/>
        </w:rPr>
        <w:t>:</w:t>
      </w:r>
    </w:p>
    <w:p w:rsidR="00DD1431" w:rsidRPr="00932D75" w:rsidRDefault="00DD1431" w:rsidP="00DD1431">
      <w:pPr>
        <w:ind w:right="-1" w:firstLine="709"/>
        <w:jc w:val="both"/>
        <w:rPr>
          <w:sz w:val="28"/>
          <w:szCs w:val="28"/>
        </w:rPr>
      </w:pPr>
      <w:r w:rsidRPr="00932D75">
        <w:rPr>
          <w:b/>
          <w:sz w:val="28"/>
          <w:szCs w:val="28"/>
        </w:rPr>
        <w:t>разрешается</w:t>
      </w:r>
      <w:r w:rsidRPr="00932D75">
        <w:rPr>
          <w:sz w:val="28"/>
          <w:szCs w:val="28"/>
        </w:rPr>
        <w:t>:</w:t>
      </w:r>
    </w:p>
    <w:p w:rsidR="00DD1431" w:rsidRPr="00932D75" w:rsidRDefault="00DD1431" w:rsidP="00DD143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проведение работ по сохранению объекта культурного наследия, направленных на обеспечение физической сохранности объекта культурного наследия, в том числе консервация, ремонт, реставрация, приспособление для современного использования;</w:t>
      </w:r>
    </w:p>
    <w:p w:rsidR="00DD1431" w:rsidRPr="00932D75" w:rsidRDefault="00DD1431" w:rsidP="00DD1431">
      <w:pPr>
        <w:tabs>
          <w:tab w:val="left" w:pos="0"/>
        </w:tabs>
        <w:ind w:firstLine="709"/>
        <w:jc w:val="both"/>
        <w:rPr>
          <w:spacing w:val="2"/>
          <w:sz w:val="28"/>
          <w:szCs w:val="28"/>
        </w:rPr>
      </w:pPr>
      <w:r w:rsidRPr="00932D75">
        <w:rPr>
          <w:sz w:val="28"/>
          <w:szCs w:val="28"/>
        </w:rPr>
        <w:t xml:space="preserve">- ведение хозяйственной деятельности, </w:t>
      </w:r>
      <w:r w:rsidRPr="00932D75">
        <w:rPr>
          <w:spacing w:val="2"/>
          <w:sz w:val="28"/>
          <w:szCs w:val="28"/>
        </w:rPr>
        <w:t>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</w:t>
      </w:r>
    </w:p>
    <w:p w:rsidR="00DD1431" w:rsidRPr="00932D75" w:rsidRDefault="00DD1431" w:rsidP="00DD1431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использование и приспособление объекта культурного наследия для современного использования в соответствии с видами функционального использования без изменения его особенностей, составляющих предмет охраны;</w:t>
      </w:r>
    </w:p>
    <w:p w:rsidR="00DD1431" w:rsidRPr="00932D75" w:rsidRDefault="00DD1431" w:rsidP="00DD1431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снос сооружений и объектов, в том числе временных, нарушающих целостность объекта культурного наследия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</w:t>
      </w:r>
    </w:p>
    <w:p w:rsidR="00DD1431" w:rsidRPr="00932D75" w:rsidRDefault="00DD1431" w:rsidP="00DD1431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 и др.), а также прокладка новых объектов инженерной инфраструктуры подземным способом при условии отсутствия влияния производимых работ (в том числе динамических воздействий) на объект культурного наследия;</w:t>
      </w:r>
    </w:p>
    <w:p w:rsidR="00DD1431" w:rsidRPr="00932D75" w:rsidRDefault="00DD1431" w:rsidP="00DD1431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благоустройство территории, направленное на сохранение, использование и популяризацию объекта культурного наследия;</w:t>
      </w:r>
    </w:p>
    <w:p w:rsidR="00DD1431" w:rsidRPr="00932D75" w:rsidRDefault="00DD1431" w:rsidP="00DD1431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 xml:space="preserve">- использование в покрытии площадок, подходов и проездов традиционных материалов (кирпич, камень, гранит и иные природные материалы, а также материалы, имитирующие натуральные); </w:t>
      </w:r>
    </w:p>
    <w:p w:rsidR="00DD1431" w:rsidRPr="00932D75" w:rsidRDefault="00DD1431" w:rsidP="00DD1431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lastRenderedPageBreak/>
        <w:t xml:space="preserve">- применение отдельно стоящего оборудования освещения, отвечающего характеристикам элементов исторической среды; </w:t>
      </w:r>
    </w:p>
    <w:p w:rsidR="00DD1431" w:rsidRPr="00932D75" w:rsidRDefault="00DD1431" w:rsidP="00DD1431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озеленение: сохранение деревьев, санирующая и санитарная рубка зеленых насаждений, высадка новых элементов озеленения;</w:t>
      </w:r>
    </w:p>
    <w:p w:rsidR="00DD1431" w:rsidRPr="00932D75" w:rsidRDefault="00DD1431" w:rsidP="00DD1431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 xml:space="preserve">- сохранение историко-градостроительной среды, воссоздание утраченных исторических элементов ценных в мемориальном и архитектурно-ансамблевом отношении (зданий, строений, сооружений, малых архитектурных форм, ограждений, ворот) при наличии достаточных научных данных, необходимых для их воссоздания с учетом требований Федерального закона от 25 июня 2002 года </w:t>
      </w:r>
      <w:r w:rsidRPr="00932D75">
        <w:rPr>
          <w:sz w:val="28"/>
          <w:szCs w:val="28"/>
        </w:rPr>
        <w:br/>
        <w:t xml:space="preserve">№ 73-ФЗ «Об объектах культурного наследия (памятниках истории и культуры) народов Российской Федерации»; </w:t>
      </w:r>
    </w:p>
    <w:p w:rsidR="00DD1431" w:rsidRPr="00932D75" w:rsidRDefault="00DD1431" w:rsidP="00DD1431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установка информационных надписей и обозначений на главном фасаде объекта культурного наследия не выше первого этажа;</w:t>
      </w:r>
    </w:p>
    <w:p w:rsidR="00DD1431" w:rsidRPr="00932D75" w:rsidRDefault="00DD1431" w:rsidP="00DD1431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размещение средств наружной информации (вывесок), предназначенных для доведения до сведения потребителей в соответствие с требованиями Федерального законодательств</w:t>
      </w:r>
      <w:r>
        <w:rPr>
          <w:sz w:val="28"/>
          <w:szCs w:val="28"/>
        </w:rPr>
        <w:t>а</w:t>
      </w:r>
      <w:r w:rsidRPr="00932D75">
        <w:rPr>
          <w:sz w:val="28"/>
          <w:szCs w:val="28"/>
        </w:rPr>
        <w:t>;</w:t>
      </w:r>
    </w:p>
    <w:p w:rsidR="00DD1431" w:rsidRPr="00932D75" w:rsidRDefault="00DD1431" w:rsidP="00DD1431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высота средств наружной информации (вывесок) должна составлять не более 2/3 от высоты фриза, простенка между окнами этажей, в пределах которой регламентируется размещение той или иной конструкции;</w:t>
      </w:r>
    </w:p>
    <w:p w:rsidR="00DD1431" w:rsidRPr="00932D75" w:rsidRDefault="00DD1431" w:rsidP="00DD1431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при наличии арочных окон высота конструкций, расположенных между окнами этажей, уменьшается до ½. Ширина информационных конструкций должна составлять не более 2/3 от ширины простенка, в пределах которого регламентируется размещение той или иной конструкции, за исключением декоративно-художественных панно.</w:t>
      </w:r>
    </w:p>
    <w:p w:rsidR="00DD1431" w:rsidRPr="00932D75" w:rsidRDefault="00DD1431" w:rsidP="00DD1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Все вышеуказанные работы проводятся в соответствии с требованиями Федерального закона от 25 июня 2002 года № 73-ФЗ «Об объектах культурного наследия (памятниках истории и культуры) народов Российской Федерации».</w:t>
      </w:r>
    </w:p>
    <w:p w:rsidR="00DD1431" w:rsidRPr="00932D75" w:rsidRDefault="00DD1431" w:rsidP="00DD1431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В границах территорий объектов культурного наследия регионального значения</w:t>
      </w:r>
      <w:r>
        <w:rPr>
          <w:sz w:val="28"/>
          <w:szCs w:val="28"/>
        </w:rPr>
        <w:t xml:space="preserve"> </w:t>
      </w:r>
      <w:r w:rsidRPr="00932D75">
        <w:rPr>
          <w:b/>
          <w:sz w:val="28"/>
          <w:szCs w:val="28"/>
        </w:rPr>
        <w:t>запрещается:</w:t>
      </w:r>
    </w:p>
    <w:p w:rsidR="00DD1431" w:rsidRPr="00932D75" w:rsidRDefault="00DD1431" w:rsidP="00DD1431">
      <w:pPr>
        <w:ind w:firstLine="709"/>
        <w:jc w:val="both"/>
        <w:rPr>
          <w:spacing w:val="2"/>
          <w:sz w:val="28"/>
          <w:szCs w:val="28"/>
        </w:rPr>
      </w:pPr>
      <w:r w:rsidRPr="00932D75">
        <w:rPr>
          <w:spacing w:val="2"/>
          <w:sz w:val="28"/>
          <w:szCs w:val="28"/>
        </w:rPr>
        <w:t>-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:rsidR="00DD1431" w:rsidRPr="00932D75" w:rsidRDefault="00DD1431" w:rsidP="00DD1431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установка на фасадах и крыше объекта культурного наследия кондиционеров, крупногабаритных антенн и иных элементов инженерного оборудования;</w:t>
      </w:r>
    </w:p>
    <w:p w:rsidR="00DD1431" w:rsidRPr="00932D75" w:rsidRDefault="00DD1431" w:rsidP="00DD1431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установка средств наружной рекламы;</w:t>
      </w:r>
    </w:p>
    <w:p w:rsidR="00DD1431" w:rsidRPr="00932D75" w:rsidRDefault="00DD1431" w:rsidP="00DD1431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 и др.) надземным способом;</w:t>
      </w:r>
    </w:p>
    <w:p w:rsidR="00DD1431" w:rsidRPr="00932D75" w:rsidRDefault="00DD1431" w:rsidP="00DD1431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установка киосков, павильонов, навесов, малых архитектурных форм, за исключением восстановления утраченных;</w:t>
      </w:r>
    </w:p>
    <w:p w:rsidR="00DD1431" w:rsidRPr="00932D75" w:rsidRDefault="00DD1431" w:rsidP="00DD1431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 xml:space="preserve">- использование технологий, создающих динамические нагрузки (применение машин ударного действия, таких, как прессы, молоты и т. д., кривошипно-шатунных механизмов, молотов и других механизмов ударного действия, одновременное </w:t>
      </w:r>
      <w:r w:rsidRPr="00932D75">
        <w:rPr>
          <w:sz w:val="28"/>
          <w:szCs w:val="28"/>
        </w:rPr>
        <w:lastRenderedPageBreak/>
        <w:t>использование большого количества машин с синхронным или асинхронным приводом) на объект культурного наследия и на окружающую его застройку;</w:t>
      </w:r>
    </w:p>
    <w:p w:rsidR="00DD1431" w:rsidRPr="00932D75" w:rsidRDefault="00DD1431" w:rsidP="00DD14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засорение территории объекта культурного наследия строительными, бытовыми отходами любого вида и форм;</w:t>
      </w:r>
    </w:p>
    <w:p w:rsidR="00DD1431" w:rsidRPr="00932D75" w:rsidRDefault="00DD1431" w:rsidP="00DD1431">
      <w:pPr>
        <w:ind w:firstLine="709"/>
        <w:jc w:val="both"/>
        <w:rPr>
          <w:sz w:val="28"/>
          <w:szCs w:val="28"/>
        </w:rPr>
      </w:pPr>
      <w:r w:rsidRPr="00932D75">
        <w:rPr>
          <w:sz w:val="28"/>
          <w:szCs w:val="28"/>
        </w:rPr>
        <w:t>- вырубка деревьев, за исключением санитарных рубок.</w:t>
      </w:r>
    </w:p>
    <w:p w:rsidR="00DD1431" w:rsidRPr="00447A21" w:rsidRDefault="00DD1431" w:rsidP="00FA1D82">
      <w:pPr>
        <w:ind w:left="5812" w:right="-1"/>
        <w:jc w:val="both"/>
        <w:rPr>
          <w:sz w:val="28"/>
          <w:szCs w:val="28"/>
        </w:rPr>
      </w:pPr>
    </w:p>
    <w:sectPr w:rsidR="00DD1431" w:rsidRPr="00447A21" w:rsidSect="0071592F">
      <w:headerReference w:type="default" r:id="rId9"/>
      <w:pgSz w:w="11906" w:h="16838"/>
      <w:pgMar w:top="1134" w:right="566" w:bottom="426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F1D" w:rsidRDefault="00C52F1D" w:rsidP="00547FCB">
      <w:r>
        <w:separator/>
      </w:r>
    </w:p>
  </w:endnote>
  <w:endnote w:type="continuationSeparator" w:id="0">
    <w:p w:rsidR="00C52F1D" w:rsidRDefault="00C52F1D" w:rsidP="0054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lbany AMT">
    <w:altName w:val="Arial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F1D" w:rsidRDefault="00C52F1D" w:rsidP="00547FCB">
      <w:r>
        <w:separator/>
      </w:r>
    </w:p>
  </w:footnote>
  <w:footnote w:type="continuationSeparator" w:id="0">
    <w:p w:rsidR="00C52F1D" w:rsidRDefault="00C52F1D" w:rsidP="00547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8581955"/>
      <w:docPartObj>
        <w:docPartGallery w:val="Page Numbers (Top of Page)"/>
        <w:docPartUnique/>
      </w:docPartObj>
    </w:sdtPr>
    <w:sdtEndPr/>
    <w:sdtContent>
      <w:p w:rsidR="008F7914" w:rsidRDefault="008F791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631">
          <w:rPr>
            <w:noProof/>
          </w:rPr>
          <w:t>1</w:t>
        </w:r>
        <w:r>
          <w:fldChar w:fldCharType="end"/>
        </w:r>
      </w:p>
    </w:sdtContent>
  </w:sdt>
  <w:p w:rsidR="008F7914" w:rsidRDefault="008F791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3C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5027"/>
    <w:multiLevelType w:val="hybridMultilevel"/>
    <w:tmpl w:val="D9A6425C"/>
    <w:lvl w:ilvl="0" w:tplc="2AB236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9F1740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A71A8"/>
    <w:multiLevelType w:val="hybridMultilevel"/>
    <w:tmpl w:val="D3CCE6A8"/>
    <w:lvl w:ilvl="0" w:tplc="046E2DF8">
      <w:start w:val="72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7773F"/>
    <w:multiLevelType w:val="hybridMultilevel"/>
    <w:tmpl w:val="AF04C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2DB7094E"/>
    <w:multiLevelType w:val="hybridMultilevel"/>
    <w:tmpl w:val="5C7A0C60"/>
    <w:lvl w:ilvl="0" w:tplc="ADC87B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04002"/>
    <w:multiLevelType w:val="hybridMultilevel"/>
    <w:tmpl w:val="8CB0D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E417C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E7BBE"/>
    <w:multiLevelType w:val="hybridMultilevel"/>
    <w:tmpl w:val="54DAA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01190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B7FA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3374C"/>
    <w:multiLevelType w:val="hybridMultilevel"/>
    <w:tmpl w:val="2F7AD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D546D"/>
    <w:multiLevelType w:val="hybridMultilevel"/>
    <w:tmpl w:val="644C47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F1C5D"/>
    <w:multiLevelType w:val="hybridMultilevel"/>
    <w:tmpl w:val="D1D80842"/>
    <w:lvl w:ilvl="0" w:tplc="F74A6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2B556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26912"/>
    <w:multiLevelType w:val="hybridMultilevel"/>
    <w:tmpl w:val="9F4CD416"/>
    <w:lvl w:ilvl="0" w:tplc="3016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E27AF1"/>
    <w:multiLevelType w:val="hybridMultilevel"/>
    <w:tmpl w:val="4FACC97A"/>
    <w:lvl w:ilvl="0" w:tplc="82883A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0"/>
  </w:num>
  <w:num w:numId="5">
    <w:abstractNumId w:val="20"/>
  </w:num>
  <w:num w:numId="6">
    <w:abstractNumId w:val="2"/>
  </w:num>
  <w:num w:numId="7">
    <w:abstractNumId w:val="15"/>
  </w:num>
  <w:num w:numId="8">
    <w:abstractNumId w:val="11"/>
  </w:num>
  <w:num w:numId="9">
    <w:abstractNumId w:val="8"/>
  </w:num>
  <w:num w:numId="10">
    <w:abstractNumId w:val="16"/>
  </w:num>
  <w:num w:numId="11">
    <w:abstractNumId w:val="21"/>
  </w:num>
  <w:num w:numId="12">
    <w:abstractNumId w:val="4"/>
  </w:num>
  <w:num w:numId="13">
    <w:abstractNumId w:val="22"/>
  </w:num>
  <w:num w:numId="14">
    <w:abstractNumId w:val="18"/>
  </w:num>
  <w:num w:numId="15">
    <w:abstractNumId w:val="12"/>
  </w:num>
  <w:num w:numId="16">
    <w:abstractNumId w:val="7"/>
  </w:num>
  <w:num w:numId="17">
    <w:abstractNumId w:val="3"/>
  </w:num>
  <w:num w:numId="18">
    <w:abstractNumId w:val="1"/>
  </w:num>
  <w:num w:numId="19">
    <w:abstractNumId w:val="14"/>
  </w:num>
  <w:num w:numId="20">
    <w:abstractNumId w:val="6"/>
  </w:num>
  <w:num w:numId="21">
    <w:abstractNumId w:val="10"/>
  </w:num>
  <w:num w:numId="22">
    <w:abstractNumId w:val="23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F68"/>
    <w:rsid w:val="00054D00"/>
    <w:rsid w:val="00064888"/>
    <w:rsid w:val="00081C4D"/>
    <w:rsid w:val="00081E42"/>
    <w:rsid w:val="000D77CA"/>
    <w:rsid w:val="000E6376"/>
    <w:rsid w:val="000F7C01"/>
    <w:rsid w:val="00102193"/>
    <w:rsid w:val="00122567"/>
    <w:rsid w:val="00131F13"/>
    <w:rsid w:val="00136CFB"/>
    <w:rsid w:val="001437DF"/>
    <w:rsid w:val="00151B89"/>
    <w:rsid w:val="00161617"/>
    <w:rsid w:val="0018556C"/>
    <w:rsid w:val="001B3D80"/>
    <w:rsid w:val="001F1591"/>
    <w:rsid w:val="00202FA0"/>
    <w:rsid w:val="00205A30"/>
    <w:rsid w:val="002079F4"/>
    <w:rsid w:val="002144E5"/>
    <w:rsid w:val="00233EF2"/>
    <w:rsid w:val="002731C3"/>
    <w:rsid w:val="00277C76"/>
    <w:rsid w:val="00286CD5"/>
    <w:rsid w:val="002C1F68"/>
    <w:rsid w:val="002D3375"/>
    <w:rsid w:val="002D3FA8"/>
    <w:rsid w:val="003044DA"/>
    <w:rsid w:val="003135F0"/>
    <w:rsid w:val="00326422"/>
    <w:rsid w:val="0034199F"/>
    <w:rsid w:val="0035436F"/>
    <w:rsid w:val="0035459E"/>
    <w:rsid w:val="00393561"/>
    <w:rsid w:val="003B1578"/>
    <w:rsid w:val="003B4F68"/>
    <w:rsid w:val="003B5631"/>
    <w:rsid w:val="003D4460"/>
    <w:rsid w:val="003D4F44"/>
    <w:rsid w:val="003E575E"/>
    <w:rsid w:val="004042A3"/>
    <w:rsid w:val="00432B64"/>
    <w:rsid w:val="00447A21"/>
    <w:rsid w:val="004819DA"/>
    <w:rsid w:val="00492C7E"/>
    <w:rsid w:val="00496708"/>
    <w:rsid w:val="00497FB5"/>
    <w:rsid w:val="004A02A1"/>
    <w:rsid w:val="004C061B"/>
    <w:rsid w:val="004F0637"/>
    <w:rsid w:val="00510764"/>
    <w:rsid w:val="00520395"/>
    <w:rsid w:val="00526078"/>
    <w:rsid w:val="00526FA6"/>
    <w:rsid w:val="00536019"/>
    <w:rsid w:val="00545261"/>
    <w:rsid w:val="00547FCB"/>
    <w:rsid w:val="00564AA5"/>
    <w:rsid w:val="00576B4A"/>
    <w:rsid w:val="0058344D"/>
    <w:rsid w:val="00586762"/>
    <w:rsid w:val="00597D0D"/>
    <w:rsid w:val="005A2525"/>
    <w:rsid w:val="005A35B9"/>
    <w:rsid w:val="005B14C3"/>
    <w:rsid w:val="005C1E9A"/>
    <w:rsid w:val="005C20F5"/>
    <w:rsid w:val="005D03CE"/>
    <w:rsid w:val="005E26D1"/>
    <w:rsid w:val="00614EF6"/>
    <w:rsid w:val="00620316"/>
    <w:rsid w:val="0065331C"/>
    <w:rsid w:val="00653D64"/>
    <w:rsid w:val="00656E3E"/>
    <w:rsid w:val="00672F6E"/>
    <w:rsid w:val="00693845"/>
    <w:rsid w:val="006A3CFE"/>
    <w:rsid w:val="006B16A5"/>
    <w:rsid w:val="006C33A4"/>
    <w:rsid w:val="006E0862"/>
    <w:rsid w:val="007026B8"/>
    <w:rsid w:val="007045C1"/>
    <w:rsid w:val="0071592F"/>
    <w:rsid w:val="007316DC"/>
    <w:rsid w:val="00746535"/>
    <w:rsid w:val="007469D1"/>
    <w:rsid w:val="007566EF"/>
    <w:rsid w:val="00767B0D"/>
    <w:rsid w:val="00782350"/>
    <w:rsid w:val="00792D62"/>
    <w:rsid w:val="007D70F9"/>
    <w:rsid w:val="007F76DA"/>
    <w:rsid w:val="00802EB0"/>
    <w:rsid w:val="00815DD2"/>
    <w:rsid w:val="00830D83"/>
    <w:rsid w:val="00831AEE"/>
    <w:rsid w:val="0085063D"/>
    <w:rsid w:val="008609F5"/>
    <w:rsid w:val="008723C6"/>
    <w:rsid w:val="00890FB0"/>
    <w:rsid w:val="00896417"/>
    <w:rsid w:val="00897455"/>
    <w:rsid w:val="008A697D"/>
    <w:rsid w:val="008A791C"/>
    <w:rsid w:val="008C5FE6"/>
    <w:rsid w:val="008C69DA"/>
    <w:rsid w:val="008D691A"/>
    <w:rsid w:val="008E3351"/>
    <w:rsid w:val="008F7914"/>
    <w:rsid w:val="009149A7"/>
    <w:rsid w:val="009410BF"/>
    <w:rsid w:val="00941CEE"/>
    <w:rsid w:val="00987FC6"/>
    <w:rsid w:val="00997584"/>
    <w:rsid w:val="009F28A6"/>
    <w:rsid w:val="00A131FF"/>
    <w:rsid w:val="00A13CC3"/>
    <w:rsid w:val="00A400DA"/>
    <w:rsid w:val="00A435A5"/>
    <w:rsid w:val="00A71C37"/>
    <w:rsid w:val="00A73942"/>
    <w:rsid w:val="00A928C6"/>
    <w:rsid w:val="00AA2FA3"/>
    <w:rsid w:val="00AB5D8B"/>
    <w:rsid w:val="00AE0E9B"/>
    <w:rsid w:val="00AF2E0A"/>
    <w:rsid w:val="00B00721"/>
    <w:rsid w:val="00B017AF"/>
    <w:rsid w:val="00B05472"/>
    <w:rsid w:val="00B553FE"/>
    <w:rsid w:val="00B61019"/>
    <w:rsid w:val="00B651EC"/>
    <w:rsid w:val="00B900DC"/>
    <w:rsid w:val="00BA6CE9"/>
    <w:rsid w:val="00BA6D8B"/>
    <w:rsid w:val="00BD5C6A"/>
    <w:rsid w:val="00BE7572"/>
    <w:rsid w:val="00C14B7A"/>
    <w:rsid w:val="00C1564B"/>
    <w:rsid w:val="00C25414"/>
    <w:rsid w:val="00C402DF"/>
    <w:rsid w:val="00C416ED"/>
    <w:rsid w:val="00C4427B"/>
    <w:rsid w:val="00C45ED6"/>
    <w:rsid w:val="00C52F1D"/>
    <w:rsid w:val="00C713D0"/>
    <w:rsid w:val="00C71839"/>
    <w:rsid w:val="00C77CA5"/>
    <w:rsid w:val="00C81079"/>
    <w:rsid w:val="00C86141"/>
    <w:rsid w:val="00C86D59"/>
    <w:rsid w:val="00C964F0"/>
    <w:rsid w:val="00C97FDA"/>
    <w:rsid w:val="00CC45FB"/>
    <w:rsid w:val="00CD1B80"/>
    <w:rsid w:val="00CF2AF9"/>
    <w:rsid w:val="00D0016A"/>
    <w:rsid w:val="00D21022"/>
    <w:rsid w:val="00D413BA"/>
    <w:rsid w:val="00D515CE"/>
    <w:rsid w:val="00D819A1"/>
    <w:rsid w:val="00D84784"/>
    <w:rsid w:val="00DA70FB"/>
    <w:rsid w:val="00DD1431"/>
    <w:rsid w:val="00DE2091"/>
    <w:rsid w:val="00DE23B4"/>
    <w:rsid w:val="00E17D92"/>
    <w:rsid w:val="00E20A95"/>
    <w:rsid w:val="00E21356"/>
    <w:rsid w:val="00E22F17"/>
    <w:rsid w:val="00E2373D"/>
    <w:rsid w:val="00E403CE"/>
    <w:rsid w:val="00E47AF1"/>
    <w:rsid w:val="00E575E9"/>
    <w:rsid w:val="00E7081A"/>
    <w:rsid w:val="00E7433A"/>
    <w:rsid w:val="00E90671"/>
    <w:rsid w:val="00E94708"/>
    <w:rsid w:val="00E95047"/>
    <w:rsid w:val="00E95AE7"/>
    <w:rsid w:val="00EA5CD1"/>
    <w:rsid w:val="00EA7A13"/>
    <w:rsid w:val="00EB31BA"/>
    <w:rsid w:val="00EC4382"/>
    <w:rsid w:val="00EC6080"/>
    <w:rsid w:val="00EE068F"/>
    <w:rsid w:val="00EE4E65"/>
    <w:rsid w:val="00EF4E1F"/>
    <w:rsid w:val="00EF7D15"/>
    <w:rsid w:val="00F0681B"/>
    <w:rsid w:val="00F12311"/>
    <w:rsid w:val="00F133C3"/>
    <w:rsid w:val="00F1629D"/>
    <w:rsid w:val="00F1751E"/>
    <w:rsid w:val="00F23226"/>
    <w:rsid w:val="00F2422E"/>
    <w:rsid w:val="00F25073"/>
    <w:rsid w:val="00F27C1C"/>
    <w:rsid w:val="00F3048C"/>
    <w:rsid w:val="00F367E5"/>
    <w:rsid w:val="00F6760F"/>
    <w:rsid w:val="00F9166D"/>
    <w:rsid w:val="00FA05F0"/>
    <w:rsid w:val="00FA0F58"/>
    <w:rsid w:val="00FA1D82"/>
    <w:rsid w:val="00FC1E62"/>
    <w:rsid w:val="00FC312E"/>
    <w:rsid w:val="00FD585F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10DD9-4E57-4E66-A8D9-6D5D1C10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F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7A13"/>
    <w:pPr>
      <w:ind w:left="720"/>
      <w:contextualSpacing/>
    </w:pPr>
  </w:style>
  <w:style w:type="paragraph" w:customStyle="1" w:styleId="Style24">
    <w:name w:val="Style24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character" w:customStyle="1" w:styleId="FontStyle37">
    <w:name w:val="Font Style37"/>
    <w:uiPriority w:val="99"/>
    <w:rsid w:val="00EA7A13"/>
    <w:rPr>
      <w:rFonts w:ascii="Bookman Old Style" w:hAnsi="Bookman Old Style" w:cs="Bookman Old Style" w:hint="default"/>
      <w:sz w:val="22"/>
      <w:szCs w:val="22"/>
    </w:rPr>
  </w:style>
  <w:style w:type="paragraph" w:customStyle="1" w:styleId="Style27">
    <w:name w:val="Style27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EA7A13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EA7A13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EA7A13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EA7A13"/>
    <w:pPr>
      <w:widowControl w:val="0"/>
      <w:autoSpaceDE w:val="0"/>
      <w:autoSpaceDN w:val="0"/>
      <w:adjustRightInd w:val="0"/>
    </w:pPr>
  </w:style>
  <w:style w:type="paragraph" w:styleId="a6">
    <w:name w:val="No Spacing"/>
    <w:uiPriority w:val="1"/>
    <w:qFormat/>
    <w:rsid w:val="00E2373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39"/>
    <w:rsid w:val="00E2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rsid w:val="00B553FE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FontStyle159">
    <w:name w:val="Font Style159"/>
    <w:uiPriority w:val="99"/>
    <w:rsid w:val="0054526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05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5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47F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7F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47F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7F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95AE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95AE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c">
    <w:name w:val="Разделитель таблиц"/>
    <w:basedOn w:val="a"/>
    <w:rsid w:val="00C45ED6"/>
    <w:pPr>
      <w:spacing w:line="14" w:lineRule="exact"/>
    </w:pPr>
    <w:rPr>
      <w:sz w:val="2"/>
      <w:szCs w:val="20"/>
    </w:rPr>
  </w:style>
  <w:style w:type="paragraph" w:customStyle="1" w:styleId="ad">
    <w:name w:val="Текст таблицы"/>
    <w:basedOn w:val="a"/>
    <w:rsid w:val="00C45ED6"/>
    <w:rPr>
      <w:snapToGrid w:val="0"/>
      <w:sz w:val="22"/>
      <w:szCs w:val="20"/>
    </w:rPr>
  </w:style>
  <w:style w:type="paragraph" w:customStyle="1" w:styleId="1">
    <w:name w:val="Обычный1"/>
    <w:rsid w:val="00C45ED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e">
    <w:name w:val="Содержимое таблицы"/>
    <w:basedOn w:val="a"/>
    <w:rsid w:val="007F76DA"/>
    <w:pPr>
      <w:widowControl w:val="0"/>
      <w:suppressLineNumbers/>
      <w:suppressAutoHyphens/>
    </w:pPr>
    <w:rPr>
      <w:rFonts w:eastAsia="Albany AMT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B3200-8B65-43B5-9997-8557F0F43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2021-05-20T15:07:00Z</cp:lastPrinted>
  <dcterms:created xsi:type="dcterms:W3CDTF">2021-05-31T14:24:00Z</dcterms:created>
  <dcterms:modified xsi:type="dcterms:W3CDTF">2021-06-01T06:33:00Z</dcterms:modified>
</cp:coreProperties>
</file>